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775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75C7" w:rsidRDefault="00CB274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5C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75C7" w:rsidRPr="00DD3063" w:rsidRDefault="00CB274A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DD3063">
              <w:rPr>
                <w:sz w:val="28"/>
                <w:szCs w:val="28"/>
              </w:rPr>
              <w:t>Постановление Правительства РМ от 27.03.2024 N 282</w:t>
            </w:r>
            <w:r w:rsidRPr="00DD3063">
              <w:rPr>
                <w:sz w:val="28"/>
                <w:szCs w:val="28"/>
              </w:rPr>
              <w:br/>
              <w:t>(ред. от 21.02.2025)</w:t>
            </w:r>
            <w:r w:rsidRPr="00DD3063">
              <w:rPr>
                <w:sz w:val="28"/>
                <w:szCs w:val="28"/>
              </w:rPr>
              <w:br/>
              <w:t>"</w:t>
            </w:r>
            <w:r w:rsidRPr="00DD3063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затрат на производство овощей защищенного грунта, произведенных с применением технологии досвечивания, в рамках стимулирования увеличения про</w:t>
            </w:r>
            <w:r w:rsidRPr="00DD3063">
              <w:rPr>
                <w:sz w:val="28"/>
                <w:szCs w:val="28"/>
              </w:rPr>
              <w:t xml:space="preserve">изводства картофеля и овощей и признании утратившими силу отдельных постановлений Правительства </w:t>
            </w:r>
            <w:bookmarkStart w:id="0" w:name="_GoBack"/>
            <w:bookmarkEnd w:id="0"/>
            <w:r w:rsidRPr="00DD3063">
              <w:rPr>
                <w:sz w:val="28"/>
                <w:szCs w:val="28"/>
              </w:rPr>
              <w:t>Республики Мордовия"</w:t>
            </w:r>
          </w:p>
        </w:tc>
      </w:tr>
      <w:tr w:rsidR="00A775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75C7" w:rsidRDefault="00CB274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A775C7" w:rsidRDefault="00A775C7">
      <w:pPr>
        <w:pStyle w:val="ConsPlusNormal0"/>
        <w:sectPr w:rsidR="00A775C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775C7" w:rsidRDefault="00A775C7">
      <w:pPr>
        <w:pStyle w:val="ConsPlusNormal0"/>
        <w:jc w:val="both"/>
        <w:outlineLvl w:val="0"/>
      </w:pPr>
    </w:p>
    <w:p w:rsidR="00A775C7" w:rsidRDefault="00CB274A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A775C7" w:rsidRDefault="00A775C7">
      <w:pPr>
        <w:pStyle w:val="ConsPlusTitle0"/>
        <w:jc w:val="center"/>
      </w:pPr>
    </w:p>
    <w:p w:rsidR="00A775C7" w:rsidRDefault="00CB274A">
      <w:pPr>
        <w:pStyle w:val="ConsPlusTitle0"/>
        <w:jc w:val="center"/>
      </w:pPr>
      <w:r>
        <w:t>ПОСТАНОВЛЕНИЕ</w:t>
      </w:r>
    </w:p>
    <w:p w:rsidR="00A775C7" w:rsidRDefault="00CB274A">
      <w:pPr>
        <w:pStyle w:val="ConsPlusTitle0"/>
        <w:jc w:val="center"/>
      </w:pPr>
      <w:r>
        <w:t>от 27 марта 2024 г. N 282</w:t>
      </w:r>
    </w:p>
    <w:p w:rsidR="00A775C7" w:rsidRDefault="00A775C7">
      <w:pPr>
        <w:pStyle w:val="ConsPlusTitle0"/>
        <w:jc w:val="center"/>
      </w:pPr>
    </w:p>
    <w:p w:rsidR="00A775C7" w:rsidRDefault="00CB274A">
      <w:pPr>
        <w:pStyle w:val="ConsPlusTitle0"/>
        <w:jc w:val="center"/>
      </w:pPr>
      <w:r>
        <w:t>ОБ УТВЕРЖДЕНИИ ПОРЯДКА ПРЕДОСТАВЛЕНИЯ СУБСИДИЙ</w:t>
      </w:r>
    </w:p>
    <w:p w:rsidR="00A775C7" w:rsidRDefault="00CB274A">
      <w:pPr>
        <w:pStyle w:val="ConsPlusTitle0"/>
        <w:jc w:val="center"/>
      </w:pPr>
      <w:r>
        <w:t>ИЗ РЕСПУБЛИКАНСКОГО БЮДЖЕТА РЕСПУБЛИКИ МОРДОВИЯ</w:t>
      </w:r>
    </w:p>
    <w:p w:rsidR="00A775C7" w:rsidRDefault="00CB274A">
      <w:pPr>
        <w:pStyle w:val="ConsPlusTitle0"/>
        <w:jc w:val="center"/>
      </w:pPr>
      <w:r>
        <w:t>НА ВОЗМЕЩЕНИЕ ЧАСТИ ЗАТРАТ НА ПРОИЗВОДСТВО ОВОЩЕЙ</w:t>
      </w:r>
    </w:p>
    <w:p w:rsidR="00A775C7" w:rsidRDefault="00CB274A">
      <w:pPr>
        <w:pStyle w:val="ConsPlusTitle0"/>
        <w:jc w:val="center"/>
      </w:pPr>
      <w:r>
        <w:t>ЗАЩИЩЕННОГО ГРУНТА, ПРОИЗВЕДЕННЫХ С ПРИМЕНЕНИЕМ ТЕХНОЛОГИИ</w:t>
      </w:r>
    </w:p>
    <w:p w:rsidR="00A775C7" w:rsidRDefault="00CB274A">
      <w:pPr>
        <w:pStyle w:val="ConsPlusTitle0"/>
        <w:jc w:val="center"/>
      </w:pPr>
      <w:r>
        <w:t>ДОСВЕЧИВАНИЯ, В РАМКАХ СТИМУЛИРОВАНИЯ УВЕЛИЧЕНИЯ</w:t>
      </w:r>
    </w:p>
    <w:p w:rsidR="00A775C7" w:rsidRDefault="00CB274A">
      <w:pPr>
        <w:pStyle w:val="ConsPlusTitle0"/>
        <w:jc w:val="center"/>
      </w:pPr>
      <w:r>
        <w:t>ПРОИЗВОДСТВА КАРТОФЕЛЯ И ОВОЩЕЙ И ПРИЗНАНИИ УТРАТИ</w:t>
      </w:r>
      <w:r>
        <w:t>ВШИМИ СИЛУ</w:t>
      </w:r>
    </w:p>
    <w:p w:rsidR="00A775C7" w:rsidRDefault="00CB274A">
      <w:pPr>
        <w:pStyle w:val="ConsPlusTitle0"/>
        <w:jc w:val="center"/>
      </w:pPr>
      <w:r>
        <w:t>ОТДЕЛЬНЫХ ПОСТАНОВЛЕНИЙ ПРАВИТЕЛЬСТВА РЕСПУБЛИКИ МОРДОВИЯ</w:t>
      </w:r>
    </w:p>
    <w:p w:rsidR="00A775C7" w:rsidRDefault="00A775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75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21.02.2025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</w:tr>
    </w:tbl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</w:t>
      </w:r>
      <w:r>
        <w:t xml:space="preserve">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</w:t>
      </w:r>
      <w:r>
        <w:t>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1. Установить расходное обязательство Республики Мордовия по предоставлению субсидий из республиканского бюджета Республики Мордовия на возмещение части затрат на производство овощей защищенного грунта, произведенных с применением технологии досвечивания, </w:t>
      </w:r>
      <w:r>
        <w:t>в рамках стимулирования увеличения производства картофеля и овощей.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части затрат на производство о</w:t>
      </w:r>
      <w:r>
        <w:t>вощей защищенного грунта, произведенных с применением технологии досвечивания, в рамках стимулирования увеличения производства картофеля и овощей.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A775C7" w:rsidRDefault="00CB274A">
      <w:pPr>
        <w:pStyle w:val="ConsPlusNormal0"/>
        <w:spacing w:before="240"/>
        <w:ind w:firstLine="540"/>
        <w:jc w:val="both"/>
      </w:pPr>
      <w:hyperlink r:id="rId16" w:tooltip="Постановление Правительства РМ от 15.12.2021 N 571 (ред. от 13.04.2023) &quot;Об утверждении Порядка предоставления субсидий из республиканского бюджета Республики Мордовия на возмещение части затрат на производство овощей защищенного грунта, произведенных с примен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15 декабря 2021 г. N 571 "Об утверждении Порядка предоставления субсидий из республиканского бюдж</w:t>
      </w:r>
      <w:r>
        <w:t>ета Республики Мордовия на возмещение части затрат на производство овощей закрытого грунта, произведенных с применением технологии досвечивания, в рамках стимулирования развития приоритетных подотраслей агропромышленного комплекса и малых форм хозяйствован</w:t>
      </w:r>
      <w:r>
        <w:t>ия" ("Известия Мордовии" от 17 декабря 2021 г. N 140-63);</w:t>
      </w:r>
    </w:p>
    <w:p w:rsidR="00A775C7" w:rsidRDefault="00CB274A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13.01.2023 N 8 &quot;О внесении изменений в постановление Правительства Республики Мордовия от 15 декабря 2021 г. N 57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13 января 2023 г. N 8 "О внесении </w:t>
      </w:r>
      <w:r>
        <w:lastRenderedPageBreak/>
        <w:t>изменений в постановление Правительства Республики Мордов</w:t>
      </w:r>
      <w:r>
        <w:t>ия от 15 декабря 2021 г. N 571" (официальный интернет-портал правовой информации (</w:t>
      </w:r>
      <w:hyperlink r:id="rId18">
        <w:r>
          <w:rPr>
            <w:color w:val="0000FF"/>
          </w:rPr>
          <w:t>www.pravo.gov.ru</w:t>
        </w:r>
      </w:hyperlink>
      <w:r>
        <w:t>), 13 января 2023 г., N 1300202301130002);</w:t>
      </w:r>
    </w:p>
    <w:p w:rsidR="00A775C7" w:rsidRDefault="00CB274A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13.04.2023 N 193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</w:t>
      </w:r>
      <w:r>
        <w:t>ния Правительства Республики Мордовия от 13 апреля 2023 г. N 193 "О внесении изменений в отдельные постановления Правительства Республики Мордовия" ("Известия Мордовии" от 14 апреля 2023 г. N 40-16).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</w:t>
      </w:r>
      <w:r>
        <w:t>ициального опубликования.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right"/>
      </w:pPr>
      <w:r>
        <w:t>Председатель Правительства</w:t>
      </w:r>
    </w:p>
    <w:p w:rsidR="00A775C7" w:rsidRDefault="00CB274A">
      <w:pPr>
        <w:pStyle w:val="ConsPlusNormal0"/>
        <w:jc w:val="right"/>
      </w:pPr>
      <w:r>
        <w:t>Республики Мордовия</w:t>
      </w:r>
    </w:p>
    <w:p w:rsidR="00A775C7" w:rsidRDefault="00CB274A">
      <w:pPr>
        <w:pStyle w:val="ConsPlusNormal0"/>
        <w:jc w:val="right"/>
      </w:pPr>
      <w:r>
        <w:t>Д.ПОЗДНЯКОВ</w:t>
      </w: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right"/>
        <w:outlineLvl w:val="0"/>
      </w:pPr>
      <w:r>
        <w:t>Утвержден</w:t>
      </w:r>
    </w:p>
    <w:p w:rsidR="00A775C7" w:rsidRDefault="00CB274A">
      <w:pPr>
        <w:pStyle w:val="ConsPlusNormal0"/>
        <w:jc w:val="right"/>
      </w:pPr>
      <w:r>
        <w:t>постановлением Правительства</w:t>
      </w:r>
    </w:p>
    <w:p w:rsidR="00A775C7" w:rsidRDefault="00CB274A">
      <w:pPr>
        <w:pStyle w:val="ConsPlusNormal0"/>
        <w:jc w:val="right"/>
      </w:pPr>
      <w:r>
        <w:t>Республики Мордовия</w:t>
      </w:r>
    </w:p>
    <w:p w:rsidR="00A775C7" w:rsidRDefault="00CB274A">
      <w:pPr>
        <w:pStyle w:val="ConsPlusNormal0"/>
        <w:jc w:val="right"/>
      </w:pPr>
      <w:r>
        <w:t>от 27 марта 2024 г. N 282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Title0"/>
        <w:jc w:val="center"/>
      </w:pPr>
      <w:bookmarkStart w:id="1" w:name="P38"/>
      <w:bookmarkEnd w:id="1"/>
      <w:r>
        <w:t>ПОРЯДОК</w:t>
      </w:r>
    </w:p>
    <w:p w:rsidR="00A775C7" w:rsidRDefault="00CB274A">
      <w:pPr>
        <w:pStyle w:val="ConsPlusTitle0"/>
        <w:jc w:val="center"/>
      </w:pPr>
      <w:r>
        <w:t>ПРЕДОСТАВЛЕНИЯ СУБСИДИЙ ИЗ РЕСПУБЛИКАНСКОГО</w:t>
      </w:r>
    </w:p>
    <w:p w:rsidR="00A775C7" w:rsidRDefault="00CB274A">
      <w:pPr>
        <w:pStyle w:val="ConsPlusTitle0"/>
        <w:jc w:val="center"/>
      </w:pPr>
      <w:r>
        <w:t>БЮДЖЕТА РЕСПУБЛИКИ МОРДОВИЯ</w:t>
      </w:r>
      <w:r>
        <w:t xml:space="preserve"> НА ВОЗМЕЩЕНИЕ ЧАСТИ ЗАТРАТ</w:t>
      </w:r>
    </w:p>
    <w:p w:rsidR="00A775C7" w:rsidRDefault="00CB274A">
      <w:pPr>
        <w:pStyle w:val="ConsPlusTitle0"/>
        <w:jc w:val="center"/>
      </w:pPr>
      <w:r>
        <w:t>НА ПРОИЗВОДСТВО ОВОЩЕЙ ЗАЩИЩЕННОГО ГРУНТА, ПРОИЗВЕДЕННЫХ</w:t>
      </w:r>
    </w:p>
    <w:p w:rsidR="00A775C7" w:rsidRDefault="00CB274A">
      <w:pPr>
        <w:pStyle w:val="ConsPlusTitle0"/>
        <w:jc w:val="center"/>
      </w:pPr>
      <w:r>
        <w:t>С ПРИМЕНЕНИЕМ ТЕХНОЛОГИИ ДОСВЕЧИВАНИЯ, В РАМКАХ</w:t>
      </w:r>
    </w:p>
    <w:p w:rsidR="00A775C7" w:rsidRDefault="00CB274A">
      <w:pPr>
        <w:pStyle w:val="ConsPlusTitle0"/>
        <w:jc w:val="center"/>
      </w:pPr>
      <w:r>
        <w:t>СТИМУЛИРОВАНИЯ УВЕЛИЧЕНИЯ ПРОИЗВОДСТВА</w:t>
      </w:r>
    </w:p>
    <w:p w:rsidR="00A775C7" w:rsidRDefault="00CB274A">
      <w:pPr>
        <w:pStyle w:val="ConsPlusTitle0"/>
        <w:jc w:val="center"/>
      </w:pPr>
      <w:r>
        <w:t>КАРТОФЕЛЯ И ОВОЩЕЙ</w:t>
      </w:r>
    </w:p>
    <w:p w:rsidR="00A775C7" w:rsidRDefault="00A775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75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21.02.2025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</w:tr>
    </w:tbl>
    <w:p w:rsidR="00A775C7" w:rsidRDefault="00A775C7">
      <w:pPr>
        <w:pStyle w:val="ConsPlusNormal0"/>
        <w:jc w:val="both"/>
      </w:pPr>
    </w:p>
    <w:p w:rsidR="00A775C7" w:rsidRDefault="00CB274A">
      <w:pPr>
        <w:pStyle w:val="ConsPlusTitle0"/>
        <w:jc w:val="center"/>
        <w:outlineLvl w:val="1"/>
      </w:pPr>
      <w:r>
        <w:t>Глава 1. ОБЩИЕ ПОЛОЖЕНИЯ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на возмещение части затрат на производство овощей защищенного грунта, произведенных с применением технологи</w:t>
      </w:r>
      <w:r>
        <w:t>и досвечивания, в рамках стимулирования увеличения производства картофеля и овощей (далее - субсидии).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2. Для целей настоящего Порядка под технологией досвечивания понимается технология круглогодичного выращивания овощей защищенного грунта с использованием</w:t>
      </w:r>
      <w:r>
        <w:t xml:space="preserve"> системы электрического досвечивания, соответствующей </w:t>
      </w:r>
      <w:hyperlink r:id="rId21" w:tooltip="Приказ Минсельхоза России от 15.04.2024 N 208 &quot;Об утверждении требований к мощности досвечивания и урожайности овощей с 1 гектара производственной площади&quot; (Зарегистрировано в Минюсте России 24.05.2024 N 78267) {КонсультантПлюс}">
        <w:r>
          <w:rPr>
            <w:color w:val="0000FF"/>
          </w:rPr>
          <w:t>требованиям</w:t>
        </w:r>
      </w:hyperlink>
      <w:r>
        <w:t xml:space="preserve"> к мощности досвечивания и урожайности овощей с 1 гектара производственной площади, определенны</w:t>
      </w:r>
      <w:r>
        <w:t xml:space="preserve">м приказом </w:t>
      </w:r>
      <w:r>
        <w:lastRenderedPageBreak/>
        <w:t>Министерства сельского хозяйства Российской Федерации от 15 апреля 2024 г. N 208 "Об утверждении требований к мощности досвечивания и урожайности овощей с 1 гектара производственной площади" (при этом требования к мощности досвечивания не примен</w:t>
      </w:r>
      <w:r>
        <w:t>яются при использовании светодиодных фитооблучателей).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2" w:name="P53"/>
      <w:bookmarkEnd w:id="2"/>
      <w:r>
        <w:t xml:space="preserve">3. Субсидии предоставляются сельскохозяйственным товаропроизводителям, признанным таковыми в соответствии со </w:t>
      </w:r>
      <w:hyperlink r:id="rId23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 (за исключением граждан, ведущих личное подсобное хозяйство и сельскохозяйственных кредитных потребительских кооперативов), занимающихся овощеводст</w:t>
      </w:r>
      <w:r>
        <w:t>вом защищенного грунта с применением технологии досвечивания и осуществляющим свою деятельность на территории Республики Мордовия, с целью возмещения части затрат (без учета налога на добавленную стоимость), понесенных в текущем финансовом году и (или) отч</w:t>
      </w:r>
      <w:r>
        <w:t>етном финансовом году, связанных с производством овощей защищенного грунта, произведенных с применением технологии досвечивания, по ставке на 1 тонну произведенных овощей защищенного грунта собственного производства (далее соответственно - участник отбора,</w:t>
      </w:r>
      <w:r>
        <w:t xml:space="preserve"> получатель субсидии).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</w:t>
      </w:r>
      <w:r>
        <w:t>я (далее - главный распорядитель).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5. Ставки на возмещение части затрат на производство овощей защищенного грунта, произведенных с применением технологии досвечивания, в рамках стимулирования увеличения производства картофеля и овощей устанавливаются приказом главного распорядителя.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При опр</w:t>
      </w:r>
      <w:r>
        <w:t>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Сельскохозяйственным товаропроизводителям, использующим право на освобождение от исполнения обязанностей </w:t>
      </w:r>
      <w:r>
        <w:t>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3" w:name="P61"/>
      <w:bookmarkEnd w:id="3"/>
      <w:r>
        <w:t xml:space="preserve">6. Порядок расчета </w:t>
      </w:r>
      <w:r>
        <w:t>размера субсидии: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r>
        <w:t>Р = О x С,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где: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Р - расчетный размер субсидий для каждого производителя овощей защищенного грунта с применением технологии досвечивания;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 - объем производства овощей защищенного грунта, тонн;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С - ставка субсидий из республиканского бюд</w:t>
      </w:r>
      <w:r>
        <w:t>жета Республики Мордовия по возмещению части затрат, связанных с производством овощей защищенного грунта, произведенных с применением технологии досвечивания, на 1 тонну произведенных овощей закрытого грунта собственного производства.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где: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производителям овощей защищенного грунта, произведенных с применением технологии досвечивания.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r>
        <w:t>Сп = С x К,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где: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- перерасчетная ставка субсидий из республиканского бюджета Республики Мордовия по возмещению пр</w:t>
      </w:r>
      <w:r>
        <w:t>оизводителям овощей защищенного грунта, произведенных с применением технологии досвечивания, рублей на 1 тонну.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 случае неосвоения (недостатка) объема лимитов бюджетных обязательств из республиканского бюджета Республики Мордовия по возмещению части затра</w:t>
      </w:r>
      <w:r>
        <w:t>т производителям овощей защищенного грунта, произведенных с применением технологии досвечивания, в последний этап отбора применяется корректирующий коэффициент к ставке: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r>
        <w:t>К = Л / Ро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где: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К - корректирующий коэффициент к ставке;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Л - объем лимитов бюджетных</w:t>
      </w:r>
      <w:r>
        <w:t xml:space="preserve"> обязательств на соответствующий финансовый год, рублей.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r>
        <w:t>Р</w:t>
      </w:r>
      <w:r>
        <w:rPr>
          <w:vertAlign w:val="subscript"/>
        </w:rPr>
        <w:t>п</w:t>
      </w:r>
      <w:r>
        <w:t xml:space="preserve"> = О x С</w:t>
      </w:r>
      <w:r>
        <w:rPr>
          <w:vertAlign w:val="subscript"/>
        </w:rPr>
        <w:t>п</w:t>
      </w:r>
      <w:r>
        <w:t>,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где: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п</w:t>
      </w:r>
      <w:r>
        <w:t xml:space="preserve"> - объем субсидии к перечислению по каждому производителю овощей защищенного грунта, произведенных с применением технологии досвечивания, рублей.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4" w:name="P91"/>
      <w:bookmarkEnd w:id="4"/>
      <w:r>
        <w:t>7. Результатом использования су</w:t>
      </w:r>
      <w:r>
        <w:t>бсидии является - произведено продукции овощеводства защищенного грунта собственного производства, выращенной с применением технологии досвечивания (тонн).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Показателем, необходимым для достижения результата предоставления субсидии, является объем производс</w:t>
      </w:r>
      <w:r>
        <w:t>тва продукции овощеводства защищенного грунта, выращенной с применением технологии досвечивания (тонн).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5" w:name="P93"/>
      <w:bookmarkEnd w:id="5"/>
      <w:r>
        <w:lastRenderedPageBreak/>
        <w:t>8. Условиями предоставления субсидий являются: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1) производство овощей защищенного грунта собственного производства, выращенных с применением технологии </w:t>
      </w:r>
      <w:r>
        <w:t>досвечивания;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2) участник отбора должен соответствовать требованиям производителя, использующего при производстве овощей технологию круглогодичного выращивания овощей защищенного грунта с использованием системы электрического досвечивания, соответствующей </w:t>
      </w:r>
      <w:hyperlink r:id="rId25" w:tooltip="Приказ Минсельхоза России от 15.04.2024 N 208 &quot;Об утверждении требований к мощности досвечивания и урожайности овощей с 1 гектара производственной площади&quot; (Зарегистрировано в Минюсте России 24.05.2024 N 78267) {КонсультантПлюс}">
        <w:r>
          <w:rPr>
            <w:color w:val="0000FF"/>
          </w:rPr>
          <w:t>требованиям</w:t>
        </w:r>
      </w:hyperlink>
      <w:r>
        <w:t xml:space="preserve"> к мощности досвечивания и урожайности овощей с 1 гектара производственной площади, определенным приказом Министерства сельского хозяйства Российской</w:t>
      </w:r>
      <w:r>
        <w:t xml:space="preserve"> Федерации от 15 апреля 2024 г. N 208 "Об утверждении требований к мощности досвечивания и урожайности овощей с 1 гектара производственной площади" (при этом требования к мощности досвечивания не применяются при использовании светодиодных фитооблучателей).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9.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</w:t>
      </w:r>
      <w:r>
        <w:t>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Title0"/>
        <w:jc w:val="center"/>
        <w:outlineLvl w:val="1"/>
      </w:pPr>
      <w:r>
        <w:t>Глава 3. ПОРЯДОК ПРОВЕДЕНИЯ ОТБОРА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>10. Получатели субсидий определяются по результатам проведения отбора получателей субсидий (далее - отбор).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6" w:name="P106"/>
      <w:bookmarkEnd w:id="6"/>
      <w:r>
        <w:t>11. Участник отбора на даты рассмотрения заявки и заключения соглашения должен соответствовать следующим требованиям: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</w:t>
      </w:r>
      <w:r>
        <w:t xml:space="preserve">является государство или территория, включенные в утвержденный Минфином России </w:t>
      </w:r>
      <w:hyperlink r:id="rId27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</w:t>
      </w:r>
      <w:r>
        <w:t>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r>
        <w:t xml:space="preserve"> превышает 25 </w:t>
      </w:r>
      <w:r>
        <w:lastRenderedPageBreak/>
        <w:t>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</w:t>
      </w:r>
      <w:r>
        <w:t>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</w:t>
      </w:r>
      <w:r>
        <w:t>ез участие в капитале указанных публичных акционерных обществ;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3) участник отбора </w:t>
      </w:r>
      <w:r>
        <w:t xml:space="preserve">не находится в составляемых в рамках реализации полномочий, предусмотренных </w:t>
      </w:r>
      <w:hyperlink r:id="rId2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</w:t>
      </w:r>
      <w:r>
        <w:t>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</w:t>
      </w:r>
      <w:r>
        <w:t xml:space="preserve"> бюджета Республики Мордовия на основании иных нормативных правовых актов Республики Мордовия на цели, установленные в </w:t>
      </w:r>
      <w:hyperlink w:anchor="P53" w:tooltip="3. Субсидии предоставляются сельскохозяйственным товаропроизводителям, признанным таковыми в соответствии со статьей 3 Федерального закона от 29 декабря 2006 г. N 264-ФЗ &quot;О развитии сельского хозяйства&quot; (за исключением граждан, ведущих личное подсобное хозяйст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5) участник отбора не является иностранным агентом в соответствии с Фе</w:t>
      </w:r>
      <w:r>
        <w:t xml:space="preserve">деральным </w:t>
      </w:r>
      <w:hyperlink r:id="rId29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3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</w:t>
      </w:r>
      <w:r>
        <w:t>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8) участник отбора, являющийся юридическ</w:t>
      </w:r>
      <w:r>
        <w:t>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</w:t>
      </w:r>
      <w:r>
        <w:t>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9) в реестре дисквалиф</w:t>
      </w:r>
      <w:r>
        <w:t>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</w:t>
      </w:r>
      <w:r>
        <w:t>еским лицом, об индивидуальном предпринимателе, являющихся участниками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10) сельхозтоваропроизводители зарегистрированы и осуществляют деятельность на территории Республики Мордовия, а также зарегистрированы за пределами Республики Мордовия, имеют о</w:t>
      </w:r>
      <w:r>
        <w:t>бособленные подразделения, зарегистрированные и осуществляющие деятельность на территории Республики Мордовия.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12. Проверка участника отбора на соответствие требованиям, указанным в </w:t>
      </w:r>
      <w:hyperlink w:anchor="P10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</w:t>
      </w:r>
      <w:r>
        <w:t>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представления документов и информации в целях подтверждения соответствия участника отбора треб</w:t>
      </w:r>
      <w:r>
        <w:t xml:space="preserve">ованиям, указанным в </w:t>
      </w:r>
      <w:hyperlink w:anchor="P10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при наличии соответствующей информации в государственны</w:t>
      </w:r>
      <w:r>
        <w:t>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</w:t>
      </w:r>
      <w:r>
        <w:t>бственной инициативе.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0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</w:t>
      </w:r>
      <w:r>
        <w:t>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</w:t>
      </w:r>
      <w:r>
        <w:t>полнения соответствующих экранных форм веб-интерфейса системы "Электронный бюджет".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13.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</w:t>
      </w:r>
      <w:r>
        <w:t xml:space="preserve">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2 календарных дня до наступления даты </w:t>
      </w:r>
      <w:r>
        <w:t>начала приема заявок участников отбора и включает в себя следующую информацию: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</w:t>
      </w:r>
      <w:r>
        <w:t>ких этапов отбора с указанием сроков и порядка их проведения;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</w:t>
      </w:r>
      <w:r>
        <w:t>дении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91" w:tooltip="7. Результатом использования субсидии является - произведено продукции овощеводства защищенного грунта собственного производства, выращенной с применением технологии досвечивания (тонн).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 xml:space="preserve">требования к участникам отбора в соответствии с </w:t>
      </w:r>
      <w:hyperlink w:anchor="P10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</w:t>
      </w:r>
      <w:r>
        <w:t>ений в 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04" w:tooltip="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объем распреде</w:t>
      </w:r>
      <w:r>
        <w:t>ляемой субсидии в рамках отбора, порядок расчета размера субсидии, установленный настоящим Порядком, порядок распределения субсидии по результатам отбора, которые могут включать максимальный, минимальный размер субсидии, предоставляемой победителю (победит</w:t>
      </w:r>
      <w:r>
        <w:t>елям) отбора, а также предельное количество победителей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</w:t>
      </w:r>
      <w:r>
        <w:t>ели) отбора должен подписать соглашение;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</w:t>
      </w:r>
      <w:r>
        <w:t xml:space="preserve">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32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</w:t>
      </w:r>
      <w:r>
        <w:t xml:space="preserve">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</w:t>
      </w:r>
      <w:r>
        <w:t>ты, имеющие целевое назначение, из федерального бюджета республиканскому бюджету Республики Мордовия).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</w:t>
      </w:r>
      <w:r>
        <w:t xml:space="preserve"> соблюдением следующих условий: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срок подачи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 </w:t>
      </w:r>
      <w:r>
        <w:lastRenderedPageBreak/>
        <w:t>составлял не менее 3 календарных дней;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при вне</w:t>
      </w:r>
      <w:r>
        <w:t>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</w:t>
      </w:r>
      <w:r>
        <w:t>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</w:t>
      </w:r>
      <w:r>
        <w:t>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A775C7" w:rsidRDefault="00CB274A">
      <w:pPr>
        <w:pStyle w:val="ConsPlusNormal0"/>
        <w:jc w:val="both"/>
      </w:pPr>
      <w:r>
        <w:t xml:space="preserve">(часть введена </w:t>
      </w:r>
      <w:hyperlink r:id="rId3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7" w:name="P145"/>
      <w:bookmarkEnd w:id="7"/>
      <w:r>
        <w:t>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Объявлен</w:t>
      </w:r>
      <w:r>
        <w:t>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</w:t>
      </w:r>
      <w:r>
        <w:t>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Отбор считается отм</w:t>
      </w:r>
      <w:r>
        <w:t>ененным со дня размещения объявления о его отмене на едином портале.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45" w:tooltip="14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только в </w:t>
      </w:r>
      <w:r>
        <w:t xml:space="preserve">случае возникновения обстоятельств непреодолимой силы в соответствии с </w:t>
      </w:r>
      <w:hyperlink r:id="rId3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8" w:name="P150"/>
      <w:bookmarkEnd w:id="8"/>
      <w:r>
        <w:t>15. Заявка подается в соответствии с требованиями и в сроки, указанные в объявлении о проведении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</w:t>
      </w:r>
      <w:r>
        <w:t>осителе, преобразованных в электронную форму путем сканирования).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16. Заявка содержит следующие сведения: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информация и документы об участнике отбора: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фамилия, имя, отчество (при нали</w:t>
      </w:r>
      <w:r>
        <w:t>чии) индивидуального предпринимателя;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страховой номер индив</w:t>
      </w:r>
      <w:r>
        <w:t>идуального лицевого счета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</w:t>
      </w:r>
      <w:r>
        <w:t>щений;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</w:t>
      </w:r>
      <w:r>
        <w:t xml:space="preserve">ральным </w:t>
      </w:r>
      <w:hyperlink r:id="rId35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</w:t>
      </w:r>
      <w:r>
        <w:t xml:space="preserve">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</w:t>
      </w:r>
      <w:r>
        <w:t>ии), идентификационный номер налогоплательщика, должность);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</w:t>
      </w:r>
      <w:r>
        <w:t>одписание соглашения;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субсидий установленным в объявлении о проведении отбора требованиям;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</w:t>
      </w:r>
      <w:r>
        <w:t xml:space="preserve">астнике отбора, о подаваемой участником отбора заявке, а также иной информации об </w:t>
      </w:r>
      <w:r>
        <w:lastRenderedPageBreak/>
        <w:t>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</w:t>
      </w:r>
      <w:r>
        <w:t>стемы "Электронный бюджет";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индивидуального предпринимателя);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предлагаемые участником </w:t>
      </w:r>
      <w:r>
        <w:t xml:space="preserve">отбора значение результата предоставления субсидии, указанного в </w:t>
      </w:r>
      <w:hyperlink w:anchor="P91" w:tooltip="7. Результатом использования субсидии является - произведено продукции овощеводства защищенного грунта собственного производства, выращенной с применением технологии досвечивания (тонн).">
        <w:r>
          <w:rPr>
            <w:color w:val="0000FF"/>
          </w:rPr>
          <w:t>пункте 7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17. К заявке на участие в отборе прилагаются следующие документы: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1) </w:t>
      </w:r>
      <w:hyperlink w:anchor="P287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</w:t>
      </w:r>
      <w:r>
        <w:t>бсидий согласно приложению 1 к настоящему Порядку;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2) </w:t>
      </w:r>
      <w:hyperlink w:anchor="P329" w:tooltip="Справка-расчет">
        <w:r>
          <w:rPr>
            <w:color w:val="0000FF"/>
          </w:rPr>
          <w:t>справка-расчет</w:t>
        </w:r>
      </w:hyperlink>
      <w:r>
        <w:t xml:space="preserve"> размера причитающихся производителю овощей защищенного грунта с применением технологии досвечивания средств из республиканского бюджета Респ</w:t>
      </w:r>
      <w:r>
        <w:t>ублики Мордовия по форме согласно приложению 2 к настоящему Порядку;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3) копии документов, подтверждающих затраты по производству овощей защищенного грунта с применением техн</w:t>
      </w:r>
      <w:r>
        <w:t>ологии досвечивания (договоры, накладные, акты на выполненные работы и иные документы, подтверждающие затраты, документы, подтверждающие оплату);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4) </w:t>
      </w:r>
      <w:hyperlink r:id="rId37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 по форме N 6-АПК, утвержденно</w:t>
      </w:r>
      <w:r>
        <w:t>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</w:t>
      </w:r>
      <w:r>
        <w:t>авления";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5) документы о наличии мощностей для производства овощей защищенного грунта с применением технологии досвечивания (с указанием мощности досвечивания, ватт на квадр</w:t>
      </w:r>
      <w:r>
        <w:t>атный метр (Вт/м</w:t>
      </w:r>
      <w:r>
        <w:rPr>
          <w:vertAlign w:val="superscript"/>
        </w:rPr>
        <w:t>2</w:t>
      </w:r>
      <w:r>
        <w:t xml:space="preserve">), соответствующей критериям, определенным </w:t>
      </w:r>
      <w:hyperlink r:id="rId39" w:tooltip="Приказ Минсельхоза России от 15.04.2024 N 208 &quot;Об утверждении требований к мощности досвечивания и урожайности овощей с 1 гектара производственной площади&quot; (Зарегистрировано в Минюсте России 24.05.2024 N 78267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15 апреля 2024 г. N 208 "Об утверж</w:t>
      </w:r>
      <w:r>
        <w:t>дении требований к мощности досвечивания и урожайности овощей с 1 гектара производственной площади").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18. Заявка подписывается: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</w:t>
      </w:r>
      <w:r>
        <w:t>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простой электронной подписью,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</w:t>
      </w:r>
      <w:r>
        <w:t>ствие информационных систем, используемых для предоставления государственных и муниципальных услуг в электронной форме" (для физических лиц).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19. Ответственность за полноту и достоверность информации и документов, содержащихся в заявке, а также за своеврем</w:t>
      </w:r>
      <w:r>
        <w:t>енность их представления несет участник отбора в соответствии с законодательством Российской Федерации.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9" w:name="P186"/>
      <w:bookmarkEnd w:id="9"/>
      <w:r>
        <w:t xml:space="preserve">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</w:t>
      </w:r>
      <w:r>
        <w:t>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</w:t>
      </w:r>
      <w:r>
        <w:t>логических средств.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21.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22. В рамках одного отбора участни</w:t>
      </w:r>
      <w:r>
        <w:t>к отбора вправе подать не более одной заявки.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</w:t>
      </w:r>
      <w:r>
        <w:t>й заявки.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23.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В случае отзыва заявки участник отбора вправе подать ее повторно не позднее дня окончания приема заявок, указанного в </w:t>
      </w:r>
      <w:r>
        <w:t xml:space="preserve">объявлении о проведении отбора, в порядке, аналогичном порядку формирования заявки участником отбора, указанному в </w:t>
      </w:r>
      <w:hyperlink w:anchor="P150" w:tooltip="15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</w:t>
        </w:r>
        <w:r>
          <w:rPr>
            <w:color w:val="0000FF"/>
          </w:rPr>
          <w:t>те 15</w:t>
        </w:r>
      </w:hyperlink>
      <w:r>
        <w:t xml:space="preserve"> настоящего Порядка.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24.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не более 5 зап</w:t>
      </w:r>
      <w:r>
        <w:t>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0" w:name="P193"/>
      <w:bookmarkEnd w:id="10"/>
      <w:r>
        <w:t xml:space="preserve">25. Главный распорядитель в ответ на запрос, указанный в пункте 24 настоящего Порядка, направляет </w:t>
      </w:r>
      <w:r>
        <w:t>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</w:t>
      </w:r>
      <w:r>
        <w:t>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93" w:tooltip="25. Главный распорядитель в ответ на запрос, указанный в пункте 24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26.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</w:t>
      </w:r>
      <w:r>
        <w:t>открывается доступ главному распорядителю к поданным участниками отбора заявкам для их рассмотрения.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</w:t>
      </w:r>
      <w:r>
        <w:t>окол вскрытия заявок, содержащий следующую информацию о поступивших для участия в отборе заявках: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</w:t>
      </w:r>
      <w:r>
        <w:t>чии)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</w:t>
      </w:r>
      <w:r>
        <w:t>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A775C7" w:rsidRDefault="00CB274A">
      <w:pPr>
        <w:pStyle w:val="ConsPlusNormal0"/>
        <w:jc w:val="both"/>
      </w:pPr>
      <w:r>
        <w:t>(в ре</w:t>
      </w:r>
      <w:r>
        <w:t xml:space="preserve">д. </w:t>
      </w:r>
      <w:hyperlink r:id="rId4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1" w:name="P204"/>
      <w:bookmarkEnd w:id="11"/>
      <w:r>
        <w:t>27.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</w:t>
      </w:r>
      <w:r>
        <w:t>х соответствия установленным в объявлении о проведении отбора требованиям.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93" w:tooltip="8. Условиями предоставления субсидий являются:">
        <w:r>
          <w:rPr>
            <w:color w:val="0000FF"/>
          </w:rPr>
          <w:t>пункте 8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06" w:tooltip="11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</w:t>
      </w:r>
      <w:r>
        <w:t>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</w:t>
      </w:r>
      <w:r>
        <w:t>ующей информации.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28.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</w:t>
      </w:r>
      <w:r>
        <w:t>зврата ее на доработку.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186" w:tooltip="2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20</w:t>
        </w:r>
      </w:hyperlink>
      <w:r>
        <w:t xml:space="preserve"> настоящего Порядка;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29.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Решение о соответст</w:t>
      </w:r>
      <w:r>
        <w:t>вии заявки требованиям, указанным в объявлении о проведении отбора, принимается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Заявка отклоняется в случае н</w:t>
      </w:r>
      <w:r>
        <w:t>аличия оснований для отклонения заявки, предусмотренной пунктом 30 настоящего Порядка.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30. На стадии рассмотрения заявки основаниями для отклонения заявки являются: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не</w:t>
      </w:r>
      <w:r>
        <w:t>представление (представление не в полном объеме) документов, указанных в объявлении о проведении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недостоверность информации, содерж</w:t>
      </w:r>
      <w:r>
        <w:t>ащейся в документах, представленных в составе 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31. Отбор признается несостоявшимся в следующих случаях: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</w:t>
      </w:r>
      <w:r>
        <w:t>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2" w:name="P224"/>
      <w:bookmarkEnd w:id="12"/>
      <w:r>
        <w:t>32. Ранжирование поступивших заявок осуществляется исходя из очередности их поступления.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</w:t>
      </w:r>
      <w:r>
        <w:t>ителем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3" w:name="P226"/>
      <w:bookmarkEnd w:id="13"/>
      <w:r>
        <w:t>В целях завершения отбора и определения победителей отбора формируется протокол подведения итогов отбора, включающ</w:t>
      </w:r>
      <w:r>
        <w:t>ий следующие сведения: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</w:t>
      </w:r>
      <w:r>
        <w:t xml:space="preserve">ений объявления о проведении отбора, которым не соответствуют </w:t>
      </w:r>
      <w:r>
        <w:lastRenderedPageBreak/>
        <w:t>заявки;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</w:t>
      </w:r>
      <w:r>
        <w:t>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</w:t>
      </w:r>
      <w:r>
        <w:t>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26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устано</w:t>
      </w:r>
      <w:r>
        <w:t xml:space="preserve">вленному </w:t>
      </w:r>
      <w:hyperlink w:anchor="P61" w:tooltip="6. Порядок расчета размера субсидии:">
        <w:r>
          <w:rPr>
            <w:color w:val="0000FF"/>
          </w:rPr>
          <w:t>пунктом 6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</w:t>
      </w:r>
      <w:r>
        <w:t>го им в заявке.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</w:t>
      </w:r>
      <w:r>
        <w:t>внесения изменений.</w:t>
      </w:r>
    </w:p>
    <w:p w:rsidR="00A775C7" w:rsidRDefault="00CB274A">
      <w:pPr>
        <w:pStyle w:val="ConsPlusNormal0"/>
        <w:jc w:val="both"/>
      </w:pPr>
      <w:r>
        <w:t xml:space="preserve">(часть введена </w:t>
      </w:r>
      <w:hyperlink r:id="rId4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33. Субсидия, распределяемая в рамках отбора, распределяется между участниками отбора, включенными в перечень, указанный в </w:t>
      </w:r>
      <w:hyperlink w:anchor="P224" w:tooltip="32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32</w:t>
        </w:r>
      </w:hyperlink>
      <w:r>
        <w:t xml:space="preserve"> настоящего Порядка, следующим способом: каждому участнику отбора, включенному в перечень, распределяется размер субсидии, пропорциональный размеру,</w:t>
      </w:r>
      <w:r>
        <w:t xml:space="preserve"> указанному им в заявке, к общему размеру субсидии, запрашиваемому всеми участниками отбора, включенными в список, но не выше размера, указанного им в заявке.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34. По результатам отбора с победителем (победителями) отбора заключается соглашение.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Главный рас</w:t>
      </w:r>
      <w:r>
        <w:t>порядитель в течение двух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Соглашение, дополнительн</w:t>
      </w:r>
      <w:r>
        <w:t>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формами, у</w:t>
      </w:r>
      <w:r>
        <w:t>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</w:t>
      </w:r>
      <w:r>
        <w:t>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При реорганизации получателя субсидии, являющегося юридически</w:t>
      </w:r>
      <w:r>
        <w:t>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</w:t>
      </w:r>
      <w:r>
        <w:t>м.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</w:t>
      </w:r>
      <w:r>
        <w:t xml:space="preserve">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</w:t>
      </w:r>
      <w:r>
        <w:t>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</w:t>
      </w:r>
      <w:r>
        <w:t>торых является субсидия, и возврате использованного остатка.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6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</w:t>
      </w:r>
      <w:r>
        <w:t>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35. В целях заключения соглашения победителем (победителями) отбора в системе "Электр</w:t>
      </w:r>
      <w:r>
        <w:t>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36. Основаниями для отказа получателю субсидии в пр</w:t>
      </w:r>
      <w:r>
        <w:t>едоставлении субсидии являются: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установление факта недостове</w:t>
      </w:r>
      <w:r>
        <w:t>рности представленной получателем субсидии информации.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37. Главный распорядитель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</w:t>
      </w:r>
      <w:r>
        <w:t>ора, или представления победителем отбора недостоверной информации.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 случае отказа главным распорядителем в предоставлении субсидии победителю отбора по основаниям, предусмотренным частью первой настоящего пункта, отказа победителя отбора от заключения со</w:t>
      </w:r>
      <w:r>
        <w:t xml:space="preserve">глашения, не подписания победителем отбора соглашения в срок, определенный объявлением о проведении отбора в соответствии с </w:t>
      </w:r>
      <w:hyperlink w:anchor="P250" w:tooltip="38. Если победитель отбора не подписал соглашение в течение трех рабочих дней со дня поступления соглашения на подписание в систему &quot;Электронный бюджет&quot; и не направил возражения по проекту соглашения, он признается уклонившимся от заключения соглашения.">
        <w:r>
          <w:rPr>
            <w:color w:val="0000FF"/>
          </w:rPr>
          <w:t>пунктом 38</w:t>
        </w:r>
      </w:hyperlink>
      <w:r>
        <w:t xml:space="preserve"> настоящего Порядка, главный распорядитель направляет иным участникам отбора, признанным п</w:t>
      </w:r>
      <w:r>
        <w:t xml:space="preserve">обедителями отбора, заявки </w:t>
      </w:r>
      <w:r>
        <w:lastRenderedPageBreak/>
        <w:t>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4" w:name="P250"/>
      <w:bookmarkEnd w:id="14"/>
      <w:r>
        <w:t>38. Если победитель отбора не подписал соглашение в течение трех р</w:t>
      </w:r>
      <w:r>
        <w:t>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39. В течение 2 рабочих дней со дня заключения соглашения главный ра</w:t>
      </w:r>
      <w:r>
        <w:t xml:space="preserve">спорядитель направляет в Министерство финансов Республики Мордовия запрос предельных объемов оплаты денежных обязательств по выплате субсидии в соответствии с </w:t>
      </w:r>
      <w:hyperlink r:id="rId47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</w:t>
      </w:r>
      <w:r>
        <w:t>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После доведения пред</w:t>
      </w:r>
      <w:r>
        <w:t>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</w:t>
      </w:r>
      <w:r>
        <w:t xml:space="preserve">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4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</w:t>
      </w:r>
      <w:r>
        <w:t xml:space="preserve">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 после принятия главным распорядителем решения о предоставлении субсидии.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 xml:space="preserve">40. Субсидии предоставляются в </w:t>
      </w:r>
      <w:r>
        <w:t>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период.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Title0"/>
        <w:jc w:val="center"/>
        <w:outlineLvl w:val="1"/>
      </w:pPr>
      <w:r>
        <w:t>Глава 4. ПРЕДСТАВЛЕНИЕ ОТЧЕТНОСТИ, ОСУЩЕСТВЛЯЮЩИЕ</w:t>
      </w:r>
    </w:p>
    <w:p w:rsidR="00A775C7" w:rsidRDefault="00CB274A">
      <w:pPr>
        <w:pStyle w:val="ConsPlusTitle0"/>
        <w:jc w:val="center"/>
      </w:pPr>
      <w:r>
        <w:t xml:space="preserve">КОНТРОЛЯ (МОНИТОРИНГА) ЗА СОБЛЮДЕНИЕМ УСЛОВИЙ </w:t>
      </w:r>
      <w:r>
        <w:t>И ПОРЯДКА</w:t>
      </w:r>
    </w:p>
    <w:p w:rsidR="00A775C7" w:rsidRDefault="00CB274A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ind w:firstLine="540"/>
        <w:jc w:val="both"/>
      </w:pPr>
      <w:r>
        <w:t xml:space="preserve">41. Получатель субсидии представляет отчет о достижении значения результата предоставления субсидии по формам, утвержденным </w:t>
      </w:r>
      <w:hyperlink r:id="rId4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</w:t>
      </w:r>
      <w:r>
        <w:t>федерального бюджета субсидий, в том числе грантов в форме субсидий, юридическим лицам, индивидуальным предпринимателям, а также физическим лицам", в системе "Электронный бюджет" не позднее 10 рабочего дня месяца, следующего за отчетным периодом.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Главный р</w:t>
      </w:r>
      <w:r>
        <w:t>аспорядитель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lastRenderedPageBreak/>
        <w:t>42. Главный распорядитель несет ответственность за осуществление ра</w:t>
      </w:r>
      <w:r>
        <w:t>сходов республиканского бюджета Республики Мордовия. Главный распорядитель осуществляет проверки (мониторинг) соблюдения условий и порядка предоставления субсидий получателями субсидий.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Орган финансового контроля осуществляет проверки (мониторинг) соблюден</w:t>
      </w:r>
      <w:r>
        <w:t xml:space="preserve">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</w:t>
      </w:r>
      <w:hyperlink r:id="rId5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775C7" w:rsidRDefault="00CB274A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РМ от 21.02.2025 N 258)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</w:t>
      </w:r>
      <w:r>
        <w:t>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5" w:name="P266"/>
      <w:bookmarkEnd w:id="15"/>
      <w:r>
        <w:t>43. В случае выявления нарушения условий, уста</w:t>
      </w:r>
      <w:r>
        <w:t>новленных при предоставлении субсидии, главный распорядитель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 Республики Мордовия суммы необоснованно получ</w:t>
      </w:r>
      <w:r>
        <w:t>енной субсидии в полном объеме.</w:t>
      </w:r>
    </w:p>
    <w:p w:rsidR="00A775C7" w:rsidRDefault="00CB274A">
      <w:pPr>
        <w:pStyle w:val="ConsPlusNormal0"/>
        <w:spacing w:before="240"/>
        <w:ind w:firstLine="540"/>
        <w:jc w:val="both"/>
      </w:pPr>
      <w:bookmarkStart w:id="16" w:name="P267"/>
      <w:bookmarkEnd w:id="16"/>
      <w:r>
        <w:t>В случае невыполнения получателем субсидии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результата пре</w:t>
      </w:r>
      <w:r>
        <w:t xml:space="preserve">доставления субсидии, главный распорядитель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</w:t>
      </w:r>
      <w:r>
        <w:t>невыполнению результата показателя.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Получатель субсидии в течение 20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определенном в соответствии с</w:t>
      </w:r>
      <w:r>
        <w:t xml:space="preserve"> </w:t>
      </w:r>
      <w:hyperlink w:anchor="P266" w:tooltip="43. В случае выявления нарушения условий, установленных при предоставлении субсидии, главный р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 Рес">
        <w:r>
          <w:rPr>
            <w:color w:val="0000FF"/>
          </w:rPr>
          <w:t>частями первой</w:t>
        </w:r>
      </w:hyperlink>
      <w:r>
        <w:t xml:space="preserve"> и </w:t>
      </w:r>
      <w:hyperlink w:anchor="P267" w:tooltip="В случае невыполнения получателем субсидии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а предоставления субсидии, главный распор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A775C7" w:rsidRDefault="00CB274A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20 календарных дней со дня получения получателем субси</w:t>
      </w:r>
      <w:r>
        <w:t>дий письменного требования главный распорядитель обращается в суд с целью ее принудительного взыскания.</w:t>
      </w: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right"/>
        <w:outlineLvl w:val="1"/>
      </w:pPr>
      <w:r>
        <w:t>Приложение 1</w:t>
      </w:r>
    </w:p>
    <w:p w:rsidR="00A775C7" w:rsidRDefault="00CB274A">
      <w:pPr>
        <w:pStyle w:val="ConsPlusNormal0"/>
        <w:jc w:val="right"/>
      </w:pPr>
      <w:r>
        <w:t>к Порядку предоставления субсидий</w:t>
      </w:r>
    </w:p>
    <w:p w:rsidR="00A775C7" w:rsidRDefault="00CB274A">
      <w:pPr>
        <w:pStyle w:val="ConsPlusNormal0"/>
        <w:jc w:val="right"/>
      </w:pPr>
      <w:r>
        <w:t>из республиканского бюджета Республики</w:t>
      </w:r>
    </w:p>
    <w:p w:rsidR="00A775C7" w:rsidRDefault="00CB274A">
      <w:pPr>
        <w:pStyle w:val="ConsPlusNormal0"/>
        <w:jc w:val="right"/>
      </w:pPr>
      <w:r>
        <w:t>Мордовия на возмещение части затрат</w:t>
      </w:r>
    </w:p>
    <w:p w:rsidR="00A775C7" w:rsidRDefault="00CB274A">
      <w:pPr>
        <w:pStyle w:val="ConsPlusNormal0"/>
        <w:jc w:val="right"/>
      </w:pPr>
      <w:r>
        <w:lastRenderedPageBreak/>
        <w:t>на производство овощей за</w:t>
      </w:r>
      <w:r>
        <w:t>щищенного грунта,</w:t>
      </w:r>
    </w:p>
    <w:p w:rsidR="00A775C7" w:rsidRDefault="00CB274A">
      <w:pPr>
        <w:pStyle w:val="ConsPlusNormal0"/>
        <w:jc w:val="right"/>
      </w:pPr>
      <w:r>
        <w:t>произведенных с применением технологии</w:t>
      </w:r>
    </w:p>
    <w:p w:rsidR="00A775C7" w:rsidRDefault="00CB274A">
      <w:pPr>
        <w:pStyle w:val="ConsPlusNormal0"/>
        <w:jc w:val="right"/>
      </w:pPr>
      <w:r>
        <w:t>досвечивания, в рамках стимулирования</w:t>
      </w:r>
    </w:p>
    <w:p w:rsidR="00A775C7" w:rsidRDefault="00CB274A">
      <w:pPr>
        <w:pStyle w:val="ConsPlusNormal0"/>
        <w:jc w:val="right"/>
      </w:pPr>
      <w:r>
        <w:t>увеличения производства</w:t>
      </w:r>
    </w:p>
    <w:p w:rsidR="00A775C7" w:rsidRDefault="00CB274A">
      <w:pPr>
        <w:pStyle w:val="ConsPlusNormal0"/>
        <w:jc w:val="right"/>
      </w:pPr>
      <w:r>
        <w:t>картофеля и овощей</w:t>
      </w:r>
    </w:p>
    <w:p w:rsidR="00A775C7" w:rsidRDefault="00A775C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6"/>
        <w:gridCol w:w="405"/>
        <w:gridCol w:w="1863"/>
        <w:gridCol w:w="364"/>
        <w:gridCol w:w="3983"/>
      </w:tblGrid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A775C7" w:rsidRDefault="00CB274A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bookmarkStart w:id="17" w:name="P287"/>
            <w:bookmarkEnd w:id="17"/>
            <w:r>
              <w:t>Заявление</w:t>
            </w:r>
          </w:p>
          <w:p w:rsidR="00A775C7" w:rsidRDefault="00CB274A">
            <w:pPr>
              <w:pStyle w:val="ConsPlusNormal0"/>
              <w:jc w:val="center"/>
            </w:pPr>
            <w:r>
              <w:t>на участие в отборе на предоставление средств</w:t>
            </w:r>
          </w:p>
          <w:p w:rsidR="00A775C7" w:rsidRDefault="00CB274A">
            <w:pPr>
              <w:pStyle w:val="ConsPlusNormal0"/>
              <w:jc w:val="center"/>
            </w:pPr>
            <w:r>
              <w:t>из республиканского бюджета Республики Мордовия</w:t>
            </w:r>
          </w:p>
          <w:p w:rsidR="00A775C7" w:rsidRDefault="00CB274A">
            <w:pPr>
              <w:pStyle w:val="ConsPlusNormal0"/>
              <w:jc w:val="center"/>
            </w:pPr>
            <w:r>
              <w:t>на возмещение части затрат на производство овощей</w:t>
            </w:r>
          </w:p>
          <w:p w:rsidR="00A775C7" w:rsidRDefault="00CB274A">
            <w:pPr>
              <w:pStyle w:val="ConsPlusNormal0"/>
              <w:jc w:val="center"/>
            </w:pPr>
            <w:r>
              <w:t>защищенного грунта, произведенных с применением технологии</w:t>
            </w:r>
          </w:p>
          <w:p w:rsidR="00A775C7" w:rsidRDefault="00CB274A">
            <w:pPr>
              <w:pStyle w:val="ConsPlusNormal0"/>
              <w:jc w:val="center"/>
            </w:pPr>
            <w:r>
              <w:t>досвечивания, в рамках стимулирования увеличения</w:t>
            </w:r>
          </w:p>
          <w:p w:rsidR="00A775C7" w:rsidRDefault="00CB274A">
            <w:pPr>
              <w:pStyle w:val="ConsPlusNormal0"/>
              <w:jc w:val="center"/>
            </w:pPr>
            <w:r>
              <w:t>прои</w:t>
            </w:r>
            <w:r>
              <w:t>зводства картофеля и овощей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</w:tr>
      <w:tr w:rsidR="00A775C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наименование организации (индивидуального предпринимателя), муниципального района Республики Мордовия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both"/>
            </w:pPr>
            <w:r>
              <w:t>(далее - участник отбора) просит Вас предоставить субсидию из республиканского бюджета Республики Мордовия на возмещение части затрат производителям овощей защищенного грунта, произведенных с применением технологии досвечивания, в рамках стимулирования уве</w:t>
            </w:r>
            <w:r>
              <w:t>личения производства картофеля и овощей и подтверждает, что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</w:tr>
      <w:tr w:rsidR="00A775C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ind w:firstLine="283"/>
              <w:jc w:val="both"/>
            </w:pPr>
            <w:r>
              <w:t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части достижения результатов предоставления субсиди</w:t>
            </w:r>
            <w:r>
              <w:t xml:space="preserve">и, а также проверки органами государственного финансового контроля в соответствии со </w:t>
            </w:r>
            <w:hyperlink r:id="rId53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54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и на включение таких положений в соглашение.</w:t>
            </w:r>
          </w:p>
        </w:tc>
      </w:tr>
      <w:tr w:rsidR="00A775C7"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</w:tr>
      <w:tr w:rsidR="00A775C7"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A775C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М.П. (при наличии)".</w:t>
            </w:r>
          </w:p>
        </w:tc>
      </w:tr>
    </w:tbl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right"/>
        <w:outlineLvl w:val="1"/>
      </w:pPr>
      <w:r>
        <w:t>Приложение 2</w:t>
      </w:r>
    </w:p>
    <w:p w:rsidR="00A775C7" w:rsidRDefault="00CB274A">
      <w:pPr>
        <w:pStyle w:val="ConsPlusNormal0"/>
        <w:jc w:val="right"/>
      </w:pPr>
      <w:r>
        <w:t>к Порядку предоставления субсидий</w:t>
      </w:r>
    </w:p>
    <w:p w:rsidR="00A775C7" w:rsidRDefault="00CB274A">
      <w:pPr>
        <w:pStyle w:val="ConsPlusNormal0"/>
        <w:jc w:val="right"/>
      </w:pPr>
      <w:r>
        <w:t>из республиканского бюджета Республики</w:t>
      </w:r>
    </w:p>
    <w:p w:rsidR="00A775C7" w:rsidRDefault="00CB274A">
      <w:pPr>
        <w:pStyle w:val="ConsPlusNormal0"/>
        <w:jc w:val="right"/>
      </w:pPr>
      <w:r>
        <w:t>Мордовия на возмещение части затрат</w:t>
      </w:r>
    </w:p>
    <w:p w:rsidR="00A775C7" w:rsidRDefault="00CB274A">
      <w:pPr>
        <w:pStyle w:val="ConsPlusNormal0"/>
        <w:jc w:val="right"/>
      </w:pPr>
      <w:r>
        <w:t>на производство овощей защищенного грунта,</w:t>
      </w:r>
    </w:p>
    <w:p w:rsidR="00A775C7" w:rsidRDefault="00CB274A">
      <w:pPr>
        <w:pStyle w:val="ConsPlusNormal0"/>
        <w:jc w:val="right"/>
      </w:pPr>
      <w:r>
        <w:t>произведенных с применением технологии</w:t>
      </w:r>
    </w:p>
    <w:p w:rsidR="00A775C7" w:rsidRDefault="00CB274A">
      <w:pPr>
        <w:pStyle w:val="ConsPlusNormal0"/>
        <w:jc w:val="right"/>
      </w:pPr>
      <w:r>
        <w:t>досвечивания, в рамках стимулирования</w:t>
      </w:r>
    </w:p>
    <w:p w:rsidR="00A775C7" w:rsidRDefault="00CB274A">
      <w:pPr>
        <w:pStyle w:val="ConsPlusNormal0"/>
        <w:jc w:val="right"/>
      </w:pPr>
      <w:r>
        <w:t>увеличения производства</w:t>
      </w:r>
    </w:p>
    <w:p w:rsidR="00A775C7" w:rsidRDefault="00CB274A">
      <w:pPr>
        <w:pStyle w:val="ConsPlusNormal0"/>
        <w:jc w:val="right"/>
      </w:pPr>
      <w:r>
        <w:t>картофеля и овощей</w:t>
      </w:r>
    </w:p>
    <w:p w:rsidR="00A775C7" w:rsidRDefault="00A775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775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5C7" w:rsidRDefault="00CB274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21.02.2025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5C7" w:rsidRDefault="00A775C7">
            <w:pPr>
              <w:pStyle w:val="ConsPlusNormal0"/>
            </w:pPr>
          </w:p>
        </w:tc>
      </w:tr>
    </w:tbl>
    <w:p w:rsidR="00A775C7" w:rsidRDefault="00A775C7">
      <w:pPr>
        <w:pStyle w:val="ConsPlusNormal0"/>
        <w:jc w:val="both"/>
      </w:pPr>
    </w:p>
    <w:p w:rsidR="00A775C7" w:rsidRDefault="00CB274A">
      <w:pPr>
        <w:pStyle w:val="ConsPlusNormal0"/>
        <w:jc w:val="center"/>
      </w:pPr>
      <w:bookmarkStart w:id="18" w:name="P329"/>
      <w:bookmarkEnd w:id="18"/>
      <w:r>
        <w:t>Справка-расчет</w:t>
      </w:r>
    </w:p>
    <w:p w:rsidR="00A775C7" w:rsidRDefault="00CB274A">
      <w:pPr>
        <w:pStyle w:val="ConsPlusNormal0"/>
        <w:jc w:val="center"/>
      </w:pPr>
      <w:r>
        <w:t>размера причитающихся производителю овощей защищенного</w:t>
      </w:r>
    </w:p>
    <w:p w:rsidR="00A775C7" w:rsidRDefault="00CB274A">
      <w:pPr>
        <w:pStyle w:val="ConsPlusNormal0"/>
        <w:jc w:val="center"/>
      </w:pPr>
      <w:r>
        <w:t>грунта с применением технологии досвечивания средств</w:t>
      </w:r>
    </w:p>
    <w:p w:rsidR="00A775C7" w:rsidRDefault="00CB274A">
      <w:pPr>
        <w:pStyle w:val="ConsPlusNormal0"/>
        <w:jc w:val="center"/>
      </w:pPr>
      <w:r>
        <w:t>из республиканского бюджета Республики Мордовия в рамках</w:t>
      </w:r>
    </w:p>
    <w:p w:rsidR="00A775C7" w:rsidRDefault="00CB274A">
      <w:pPr>
        <w:pStyle w:val="ConsPlusNormal0"/>
        <w:jc w:val="center"/>
      </w:pPr>
      <w:r>
        <w:t>стимулирования увеличения производства картофеля и овощей</w:t>
      </w:r>
    </w:p>
    <w:p w:rsidR="00A775C7" w:rsidRDefault="00CB274A">
      <w:pPr>
        <w:pStyle w:val="ConsPlusNormal0"/>
        <w:jc w:val="center"/>
      </w:pPr>
      <w:r>
        <w:t>за ____________ 20__ года</w:t>
      </w:r>
    </w:p>
    <w:p w:rsidR="00A775C7" w:rsidRDefault="00CB274A">
      <w:pPr>
        <w:pStyle w:val="ConsPlusNormal0"/>
        <w:jc w:val="center"/>
      </w:pPr>
      <w:r>
        <w:t>(период)</w:t>
      </w:r>
    </w:p>
    <w:p w:rsidR="00A775C7" w:rsidRDefault="00CB274A">
      <w:pPr>
        <w:pStyle w:val="ConsPlusNormal0"/>
        <w:jc w:val="center"/>
      </w:pPr>
      <w:r>
        <w:t>_______________________________________</w:t>
      </w:r>
    </w:p>
    <w:p w:rsidR="00A775C7" w:rsidRDefault="00CB274A">
      <w:pPr>
        <w:pStyle w:val="ConsPlusNormal0"/>
        <w:jc w:val="center"/>
      </w:pPr>
      <w:r>
        <w:t>(наименование организации)</w:t>
      </w:r>
    </w:p>
    <w:p w:rsidR="00A775C7" w:rsidRDefault="00CB274A">
      <w:pPr>
        <w:pStyle w:val="ConsPlusNormal0"/>
        <w:jc w:val="center"/>
      </w:pPr>
      <w:r>
        <w:t>(далее - участник отбора)</w:t>
      </w:r>
    </w:p>
    <w:p w:rsidR="00A775C7" w:rsidRDefault="00A775C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48"/>
        <w:gridCol w:w="1701"/>
        <w:gridCol w:w="1417"/>
        <w:gridCol w:w="2438"/>
      </w:tblGrid>
      <w:tr w:rsidR="00A775C7">
        <w:tc>
          <w:tcPr>
            <w:tcW w:w="567" w:type="dxa"/>
          </w:tcPr>
          <w:p w:rsidR="00A775C7" w:rsidRDefault="00CB274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A775C7" w:rsidRDefault="00CB274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A775C7" w:rsidRDefault="00CB274A">
            <w:pPr>
              <w:pStyle w:val="ConsPlusNormal0"/>
              <w:jc w:val="center"/>
            </w:pPr>
            <w:r>
              <w:t>Объем производства, тонн</w:t>
            </w:r>
          </w:p>
        </w:tc>
        <w:tc>
          <w:tcPr>
            <w:tcW w:w="1417" w:type="dxa"/>
          </w:tcPr>
          <w:p w:rsidR="00A775C7" w:rsidRDefault="00CB274A">
            <w:pPr>
              <w:pStyle w:val="ConsPlusNormal0"/>
              <w:jc w:val="center"/>
            </w:pPr>
            <w:r>
              <w:t>Ставка субсидии,</w:t>
            </w:r>
          </w:p>
          <w:p w:rsidR="00A775C7" w:rsidRDefault="00CB274A">
            <w:pPr>
              <w:pStyle w:val="ConsPlusNormal0"/>
              <w:jc w:val="center"/>
            </w:pPr>
            <w:r>
              <w:t>рублей за 1 тонну</w:t>
            </w:r>
          </w:p>
        </w:tc>
        <w:tc>
          <w:tcPr>
            <w:tcW w:w="2438" w:type="dxa"/>
          </w:tcPr>
          <w:p w:rsidR="00A775C7" w:rsidRDefault="00CB274A">
            <w:pPr>
              <w:pStyle w:val="ConsPlusNormal0"/>
              <w:jc w:val="center"/>
            </w:pPr>
            <w:r>
              <w:t>Потребность в субсидиях,</w:t>
            </w:r>
          </w:p>
          <w:p w:rsidR="00A775C7" w:rsidRDefault="00CB274A">
            <w:pPr>
              <w:pStyle w:val="ConsPlusNormal0"/>
              <w:jc w:val="center"/>
            </w:pPr>
            <w:r>
              <w:t>рублей</w:t>
            </w:r>
          </w:p>
          <w:p w:rsidR="00A775C7" w:rsidRDefault="00CB274A">
            <w:pPr>
              <w:pStyle w:val="ConsPlusNormal0"/>
              <w:jc w:val="center"/>
            </w:pPr>
            <w:r>
              <w:t>гр. 5 = (гр. 3 x гр. 4)</w:t>
            </w:r>
          </w:p>
        </w:tc>
      </w:tr>
      <w:tr w:rsidR="00A775C7">
        <w:tc>
          <w:tcPr>
            <w:tcW w:w="567" w:type="dxa"/>
          </w:tcPr>
          <w:p w:rsidR="00A775C7" w:rsidRDefault="00CB274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775C7" w:rsidRDefault="00CB274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775C7" w:rsidRDefault="00CB274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775C7" w:rsidRDefault="00CB274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A775C7" w:rsidRDefault="00CB274A">
            <w:pPr>
              <w:pStyle w:val="ConsPlusNormal0"/>
              <w:jc w:val="center"/>
            </w:pPr>
            <w:r>
              <w:t>5</w:t>
            </w:r>
          </w:p>
        </w:tc>
      </w:tr>
      <w:tr w:rsidR="00A775C7">
        <w:tc>
          <w:tcPr>
            <w:tcW w:w="567" w:type="dxa"/>
          </w:tcPr>
          <w:p w:rsidR="00A775C7" w:rsidRDefault="00A775C7">
            <w:pPr>
              <w:pStyle w:val="ConsPlusNormal0"/>
            </w:pPr>
          </w:p>
        </w:tc>
        <w:tc>
          <w:tcPr>
            <w:tcW w:w="2948" w:type="dxa"/>
          </w:tcPr>
          <w:p w:rsidR="00A775C7" w:rsidRDefault="00CB274A">
            <w:pPr>
              <w:pStyle w:val="ConsPlusNormal0"/>
            </w:pPr>
            <w:r>
              <w:t>Объем производства продукции овощеводства защищенного грунта собственного производства, выращенной с применением технологии досвечивания</w:t>
            </w:r>
          </w:p>
        </w:tc>
        <w:tc>
          <w:tcPr>
            <w:tcW w:w="1701" w:type="dxa"/>
          </w:tcPr>
          <w:p w:rsidR="00A775C7" w:rsidRDefault="00A775C7">
            <w:pPr>
              <w:pStyle w:val="ConsPlusNormal0"/>
            </w:pPr>
          </w:p>
        </w:tc>
        <w:tc>
          <w:tcPr>
            <w:tcW w:w="1417" w:type="dxa"/>
          </w:tcPr>
          <w:p w:rsidR="00A775C7" w:rsidRDefault="00A775C7">
            <w:pPr>
              <w:pStyle w:val="ConsPlusNormal0"/>
            </w:pPr>
          </w:p>
        </w:tc>
        <w:tc>
          <w:tcPr>
            <w:tcW w:w="2438" w:type="dxa"/>
          </w:tcPr>
          <w:p w:rsidR="00A775C7" w:rsidRDefault="00A775C7">
            <w:pPr>
              <w:pStyle w:val="ConsPlusNormal0"/>
            </w:pPr>
          </w:p>
        </w:tc>
      </w:tr>
    </w:tbl>
    <w:p w:rsidR="00A775C7" w:rsidRDefault="00A775C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833"/>
        <w:gridCol w:w="1011"/>
        <w:gridCol w:w="520"/>
        <w:gridCol w:w="382"/>
        <w:gridCol w:w="2948"/>
      </w:tblGrid>
      <w:tr w:rsidR="00A775C7"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Платежные реквизиты получателя субсидии:</w:t>
            </w:r>
          </w:p>
        </w:tc>
      </w:tr>
      <w:tr w:rsidR="00A775C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Получатель</w:t>
            </w:r>
          </w:p>
        </w:tc>
        <w:tc>
          <w:tcPr>
            <w:tcW w:w="7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</w:tr>
      <w:tr w:rsidR="00A775C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lastRenderedPageBreak/>
              <w:t>ИНН/КПП</w:t>
            </w:r>
          </w:p>
        </w:tc>
        <w:tc>
          <w:tcPr>
            <w:tcW w:w="7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</w:tr>
      <w:tr w:rsidR="00A775C7">
        <w:tblPrEx>
          <w:tblBorders>
            <w:insideH w:val="single" w:sz="4" w:space="0" w:color="auto"/>
          </w:tblBorders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р/с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банк получателя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</w:tr>
      <w:tr w:rsidR="00A775C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к/с</w:t>
            </w: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;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БИК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5C7" w:rsidRDefault="00CB274A">
            <w:pPr>
              <w:pStyle w:val="ConsPlusNormal0"/>
              <w:jc w:val="right"/>
            </w:pPr>
            <w:r>
              <w:t>.</w:t>
            </w:r>
          </w:p>
        </w:tc>
      </w:tr>
      <w:tr w:rsidR="00A775C7"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Руководитель организации -</w:t>
            </w:r>
          </w:p>
          <w:p w:rsidR="00A775C7" w:rsidRDefault="00CB274A">
            <w:pPr>
              <w:pStyle w:val="ConsPlusNormal0"/>
            </w:pPr>
            <w:r>
              <w:t>участника отбора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</w:tr>
      <w:tr w:rsidR="00A775C7"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Ф.И.О.</w:t>
            </w:r>
          </w:p>
        </w:tc>
      </w:tr>
      <w:tr w:rsidR="00A775C7"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Главный бухгалтер</w:t>
            </w:r>
          </w:p>
          <w:p w:rsidR="00A775C7" w:rsidRDefault="00CB274A">
            <w:pPr>
              <w:pStyle w:val="ConsPlusNormal0"/>
            </w:pPr>
            <w:r>
              <w:t>организации - участника отбора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5C7" w:rsidRDefault="00A775C7">
            <w:pPr>
              <w:pStyle w:val="ConsPlusNormal0"/>
            </w:pPr>
          </w:p>
        </w:tc>
      </w:tr>
      <w:tr w:rsidR="00A775C7">
        <w:tc>
          <w:tcPr>
            <w:tcW w:w="4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775C7" w:rsidRDefault="00A775C7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  <w:jc w:val="center"/>
            </w:pPr>
            <w:r>
              <w:t>Ф.И.О.</w:t>
            </w:r>
          </w:p>
        </w:tc>
      </w:tr>
      <w:tr w:rsidR="00A775C7"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5C7" w:rsidRDefault="00CB274A">
            <w:pPr>
              <w:pStyle w:val="ConsPlusNormal0"/>
            </w:pPr>
            <w:r>
              <w:t>М.П. (при наличии) "_____" ______________ 20___ г.</w:t>
            </w:r>
          </w:p>
        </w:tc>
      </w:tr>
    </w:tbl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jc w:val="both"/>
      </w:pPr>
    </w:p>
    <w:p w:rsidR="00A775C7" w:rsidRDefault="00A775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75C7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4A" w:rsidRDefault="00CB274A">
      <w:r>
        <w:separator/>
      </w:r>
    </w:p>
  </w:endnote>
  <w:endnote w:type="continuationSeparator" w:id="0">
    <w:p w:rsidR="00CB274A" w:rsidRDefault="00C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C7" w:rsidRDefault="00A775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75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75C7" w:rsidRDefault="00CB274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75C7" w:rsidRDefault="00CB274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75C7" w:rsidRDefault="00CB274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3063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3063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A775C7" w:rsidRDefault="00CB274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C7" w:rsidRDefault="00A775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75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75C7" w:rsidRDefault="00CB274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75C7" w:rsidRDefault="00CB274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75C7" w:rsidRDefault="00CB274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D306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D3063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A775C7" w:rsidRDefault="00CB274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4A" w:rsidRDefault="00CB274A">
      <w:r>
        <w:separator/>
      </w:r>
    </w:p>
  </w:footnote>
  <w:footnote w:type="continuationSeparator" w:id="0">
    <w:p w:rsidR="00CB274A" w:rsidRDefault="00CB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775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75C7" w:rsidRDefault="00CB274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282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A775C7" w:rsidRDefault="00CB274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A775C7" w:rsidRDefault="00A775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75C7" w:rsidRDefault="00A775C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775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75C7" w:rsidRDefault="00CB274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27.03.2024 N 282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A775C7" w:rsidRDefault="00CB274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A775C7" w:rsidRDefault="00A775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75C7" w:rsidRDefault="00A775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C7"/>
    <w:rsid w:val="00A775C7"/>
    <w:rsid w:val="00CB274A"/>
    <w:rsid w:val="00D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D30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D30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file:///C:\Users\kagaikina\Downloads\www.pravo.gov.ru" TargetMode="External"/><Relationship Id="rId26" Type="http://schemas.openxmlformats.org/officeDocument/2006/relationships/hyperlink" Target="https://login.consultant.ru/link/?req=doc&amp;base=RLAW314&amp;n=115391&amp;date=04.07.2025&amp;dst=100108&amp;field=134" TargetMode="External"/><Relationship Id="rId39" Type="http://schemas.openxmlformats.org/officeDocument/2006/relationships/hyperlink" Target="https://login.consultant.ru/link/?req=doc&amp;base=LAW&amp;n=477149&amp;date=04.07.2025&amp;dst=100010&amp;field=134" TargetMode="External"/><Relationship Id="rId21" Type="http://schemas.openxmlformats.org/officeDocument/2006/relationships/hyperlink" Target="https://login.consultant.ru/link/?req=doc&amp;base=LAW&amp;n=477149&amp;date=04.07.2025&amp;dst=100010&amp;field=134" TargetMode="External"/><Relationship Id="rId34" Type="http://schemas.openxmlformats.org/officeDocument/2006/relationships/hyperlink" Target="https://login.consultant.ru/link/?req=doc&amp;base=LAW&amp;n=482692&amp;date=04.07.2025&amp;dst=101922&amp;field=134" TargetMode="External"/><Relationship Id="rId42" Type="http://schemas.openxmlformats.org/officeDocument/2006/relationships/hyperlink" Target="https://login.consultant.ru/link/?req=doc&amp;base=RLAW314&amp;n=115391&amp;date=04.07.2025&amp;dst=100123&amp;field=134" TargetMode="External"/><Relationship Id="rId47" Type="http://schemas.openxmlformats.org/officeDocument/2006/relationships/hyperlink" Target="https://login.consultant.ru/link/?req=doc&amp;base=RLAW314&amp;n=91387&amp;date=04.07.2025&amp;dst=100010&amp;field=134" TargetMode="External"/><Relationship Id="rId50" Type="http://schemas.openxmlformats.org/officeDocument/2006/relationships/hyperlink" Target="https://login.consultant.ru/link/?req=doc&amp;base=LAW&amp;n=508374&amp;date=04.07.2025&amp;dst=3704&amp;field=134" TargetMode="External"/><Relationship Id="rId55" Type="http://schemas.openxmlformats.org/officeDocument/2006/relationships/hyperlink" Target="https://login.consultant.ru/link/?req=doc&amp;base=RLAW314&amp;n=115391&amp;date=04.07.2025&amp;dst=100127&amp;field=134" TargetMode="Externa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14&amp;n=106084&amp;date=04.07.2025" TargetMode="External"/><Relationship Id="rId29" Type="http://schemas.openxmlformats.org/officeDocument/2006/relationships/hyperlink" Target="https://login.consultant.ru/link/?req=doc&amp;base=LAW&amp;n=503623&amp;date=04.07.2025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s://login.consultant.ru/link/?req=doc&amp;base=LAW&amp;n=498695&amp;date=04.07.2025&amp;dst=354&amp;field=134" TargetMode="External"/><Relationship Id="rId37" Type="http://schemas.openxmlformats.org/officeDocument/2006/relationships/hyperlink" Target="https://login.consultant.ru/link/?req=doc&amp;base=LAW&amp;n=475892&amp;date=04.07.2025&amp;dst=102403&amp;field=134" TargetMode="External"/><Relationship Id="rId40" Type="http://schemas.openxmlformats.org/officeDocument/2006/relationships/hyperlink" Target="https://login.consultant.ru/link/?req=doc&amp;base=RLAW314&amp;n=115391&amp;date=04.07.2025&amp;dst=100120&amp;field=134" TargetMode="External"/><Relationship Id="rId45" Type="http://schemas.openxmlformats.org/officeDocument/2006/relationships/hyperlink" Target="https://login.consultant.ru/link/?req=doc&amp;base=LAW&amp;n=482692&amp;date=04.07.2025&amp;dst=217&amp;field=134" TargetMode="External"/><Relationship Id="rId53" Type="http://schemas.openxmlformats.org/officeDocument/2006/relationships/hyperlink" Target="https://login.consultant.ru/link/?req=doc&amp;base=LAW&amp;n=508374&amp;date=04.07.2025&amp;dst=3704&amp;field=134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14&amp;n=106073&amp;date=04.07.2025&amp;dst=100040&amp;field=134" TargetMode="External"/><Relationship Id="rId14" Type="http://schemas.openxmlformats.org/officeDocument/2006/relationships/hyperlink" Target="https://login.consultant.ru/link/?req=doc&amp;base=LAW&amp;n=504590&amp;date=04.07.2025&amp;dst=82607&amp;field=134" TargetMode="External"/><Relationship Id="rId22" Type="http://schemas.openxmlformats.org/officeDocument/2006/relationships/hyperlink" Target="https://login.consultant.ru/link/?req=doc&amp;base=RLAW314&amp;n=115391&amp;date=04.07.2025&amp;dst=100107&amp;field=134" TargetMode="External"/><Relationship Id="rId27" Type="http://schemas.openxmlformats.org/officeDocument/2006/relationships/hyperlink" Target="https://login.consultant.ru/link/?req=doc&amp;base=LAW&amp;n=420230&amp;date=04.07.2025&amp;dst=100010&amp;field=134" TargetMode="External"/><Relationship Id="rId30" Type="http://schemas.openxmlformats.org/officeDocument/2006/relationships/hyperlink" Target="https://login.consultant.ru/link/?req=doc&amp;base=LAW&amp;n=483130&amp;date=04.07.2025&amp;dst=5769&amp;field=134" TargetMode="External"/><Relationship Id="rId35" Type="http://schemas.openxmlformats.org/officeDocument/2006/relationships/hyperlink" Target="https://login.consultant.ru/link/?req=doc&amp;base=LAW&amp;n=479332&amp;date=04.07.2025" TargetMode="External"/><Relationship Id="rId43" Type="http://schemas.openxmlformats.org/officeDocument/2006/relationships/hyperlink" Target="https://login.consultant.ru/link/?req=doc&amp;base=RLAW314&amp;n=115391&amp;date=04.07.2025&amp;dst=100124&amp;field=134" TargetMode="External"/><Relationship Id="rId48" Type="http://schemas.openxmlformats.org/officeDocument/2006/relationships/hyperlink" Target="https://login.consultant.ru/link/?req=doc&amp;base=LAW&amp;n=508374&amp;date=04.07.2025&amp;dst=2587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8374&amp;date=04.07.2025&amp;dst=3722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https://login.consultant.ru/link/?req=doc&amp;base=RLAW314&amp;n=104713&amp;date=04.07.2025" TargetMode="External"/><Relationship Id="rId25" Type="http://schemas.openxmlformats.org/officeDocument/2006/relationships/hyperlink" Target="https://login.consultant.ru/link/?req=doc&amp;base=LAW&amp;n=477149&amp;date=04.07.2025&amp;dst=100010&amp;field=134" TargetMode="External"/><Relationship Id="rId33" Type="http://schemas.openxmlformats.org/officeDocument/2006/relationships/hyperlink" Target="https://login.consultant.ru/link/?req=doc&amp;base=RLAW314&amp;n=115391&amp;date=04.07.2025&amp;dst=100111&amp;field=134" TargetMode="External"/><Relationship Id="rId38" Type="http://schemas.openxmlformats.org/officeDocument/2006/relationships/hyperlink" Target="https://login.consultant.ru/link/?req=doc&amp;base=RLAW314&amp;n=115391&amp;date=04.07.2025&amp;dst=100119&amp;field=134" TargetMode="External"/><Relationship Id="rId46" Type="http://schemas.openxmlformats.org/officeDocument/2006/relationships/hyperlink" Target="https://login.consultant.ru/link/?req=doc&amp;base=LAW&amp;n=479333&amp;date=04.07.2025&amp;dst=100104&amp;field=134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RLAW314&amp;n=115391&amp;date=04.07.2025&amp;dst=100106&amp;field=134" TargetMode="External"/><Relationship Id="rId41" Type="http://schemas.openxmlformats.org/officeDocument/2006/relationships/hyperlink" Target="https://login.consultant.ru/link/?req=doc&amp;base=RLAW314&amp;n=115391&amp;date=04.07.2025&amp;dst=100121&amp;field=134" TargetMode="External"/><Relationship Id="rId54" Type="http://schemas.openxmlformats.org/officeDocument/2006/relationships/hyperlink" Target="https://login.consultant.ru/link/?req=doc&amp;base=LAW&amp;n=508374&amp;date=04.07.2025&amp;dst=372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&amp;dst=100080&amp;field=134" TargetMode="External"/><Relationship Id="rId23" Type="http://schemas.openxmlformats.org/officeDocument/2006/relationships/hyperlink" Target="https://login.consultant.ru/link/?req=doc&amp;base=LAW&amp;n=483244&amp;date=04.07.2025&amp;dst=100013&amp;field=134" TargetMode="External"/><Relationship Id="rId28" Type="http://schemas.openxmlformats.org/officeDocument/2006/relationships/hyperlink" Target="https://login.consultant.ru/link/?req=doc&amp;base=LAW&amp;n=121087&amp;date=04.07.2025&amp;dst=100142&amp;field=134" TargetMode="External"/><Relationship Id="rId36" Type="http://schemas.openxmlformats.org/officeDocument/2006/relationships/hyperlink" Target="https://login.consultant.ru/link/?req=doc&amp;base=RLAW314&amp;n=115391&amp;date=04.07.2025&amp;dst=100118&amp;field=134" TargetMode="External"/><Relationship Id="rId49" Type="http://schemas.openxmlformats.org/officeDocument/2006/relationships/hyperlink" Target="https://login.consultant.ru/link/?req=doc&amp;base=LAW&amp;n=483008&amp;date=04.07.2025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RLAW314&amp;n=115391&amp;date=04.07.2025&amp;dst=100106&amp;field=134" TargetMode="External"/><Relationship Id="rId31" Type="http://schemas.openxmlformats.org/officeDocument/2006/relationships/hyperlink" Target="https://login.consultant.ru/link/?req=doc&amp;base=RLAW314&amp;n=115391&amp;date=04.07.2025&amp;dst=100110&amp;field=134" TargetMode="External"/><Relationship Id="rId44" Type="http://schemas.openxmlformats.org/officeDocument/2006/relationships/hyperlink" Target="https://login.consultant.ru/link/?req=doc&amp;base=LAW&amp;n=482692&amp;date=04.07.2025&amp;dst=217&amp;field=134" TargetMode="External"/><Relationship Id="rId52" Type="http://schemas.openxmlformats.org/officeDocument/2006/relationships/hyperlink" Target="https://login.consultant.ru/link/?req=doc&amp;base=RLAW314&amp;n=115391&amp;date=04.07.2025&amp;dst=100126&amp;field=13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9947</Words>
  <Characters>56704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27.03.2024 N 282
(ред. от 21.02.2025)
"Об утверждении Порядка предоставления субсидий из республиканского бюджета Республики Мордовия на возмещение части затрат на производство овощей защищенного грунта, произведенных с п</vt:lpstr>
    </vt:vector>
  </TitlesOfParts>
  <Company>КонсультантПлюс Версия 4024.00.50</Company>
  <LinksUpToDate>false</LinksUpToDate>
  <CharactersWithSpaces>66518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27.03.2024 N 282
(ред. от 21.02.2025)
"Об утверждении Порядка предоставления субсидий из республиканского бюджета Республики Мордовия на возмещение части затрат на производство овощей защищенного грунта, произведенных с применением технологии досвечивания, в рамках стимулирования увеличения производства картофеля и овощей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2025-07-04T11:47:00Z</dcterms:created>
  <dcterms:modified xsi:type="dcterms:W3CDTF">2025-07-04T11:47:00Z</dcterms:modified>
</cp:coreProperties>
</file>