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tabs>
          <w:tab w:val="left" w:pos="3960" w:leader="none"/>
          <w:tab w:val="center" w:pos="5037" w:leader="none"/>
        </w:tabs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Информация</w:t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о социально-экономическом развитии</w:t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Республики Мордовия в январе – марте 2026 года</w:t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lang w:eastAsia="en-US"/>
        </w:rPr>
        <w:t xml:space="preserve">Социально-экономическая ситуация в Рес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публике Мордовия в                      январе – марте 2026 года характеризовалась положительной динамикой сельскохозяйственного производства, оборота розничной торговли, объема платных услуг населению, реальной и номинальной начисленной заработной платы.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lang w:eastAsia="en-US"/>
        </w:rPr>
        <w:t xml:space="preserve">Индекс промышленного производства составил 98,4%, в том числе в обрабатывающих производствах – 98,5 процента. 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lang w:eastAsia="en-US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             112,2 млрд. рублей – 98,8 % к соответствующему периоду 2025 года в действующих ценах. 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lang w:eastAsia="en-US"/>
        </w:rPr>
        <w:t xml:space="preserve">Обеспечен рост объемов отгруженной продукции в производстве лекарственных средств и материалов, применяемых в медицинских целях – 191,8%, пищевых продуктов – 107,1%, </w:t>
      </w:r>
      <w:r>
        <w:rPr>
          <w:rFonts w:ascii="Times New Roman" w:hAnsi="Times New Roman" w:eastAsia="Times New Roman" w:cs="Times New Roman"/>
          <w:color w:val="000000"/>
          <w:sz w:val="28"/>
          <w:lang w:eastAsia="en-US"/>
        </w:rPr>
        <w:t xml:space="preserve">напитков – 111,7%, 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производстве автотранспортных средств, прицепов и полуприцепов – 114,5 процента.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Объем инвестиций в основной капитал за счет всех источников финансирования за 2025 год составил 97,8 млрд. рублей – 101,7% к 2024 году в сопоставимых ценах.</w:t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b/>
          <w:sz w:val="28"/>
          <w:lang w:eastAsia="en-US"/>
        </w:rPr>
        <w:t xml:space="preserve">Строительными организациями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 республики в январе – марте</w:t>
      </w:r>
      <w:r>
        <w:rPr>
          <w:rFonts w:ascii="Times New Roman" w:hAnsi="Times New Roman" w:eastAsia="Times New Roman" w:cs="Times New Roman"/>
          <w:sz w:val="28"/>
          <w:lang w:eastAsia="en-US"/>
        </w:rPr>
        <w:br/>
        <w:t xml:space="preserve">2026 года выполнены работы по виду деятельности «Строительство» на сумму 4,5 млрд. рублей (54,6% к соответствующему периоду 2025 года).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sz w:val="28"/>
          <w:lang w:eastAsia="en-US"/>
        </w:rPr>
        <w:t xml:space="preserve">Предприятиями и организациями всех форм собственности, а также индивидуальными застройщиками введено 49,9 тыс. кв. м общей площади жилых домов (83,1% </w:t>
      </w:r>
      <w:r>
        <w:rPr>
          <w:rFonts w:ascii="Times New Roman" w:hAnsi="Times New Roman" w:eastAsia="Times New Roman" w:cs="Times New Roman"/>
          <w:sz w:val="28"/>
          <w:szCs w:val="24"/>
          <w:lang w:eastAsia="en-US"/>
        </w:rPr>
        <w:t xml:space="preserve">к соответствующему периоду прошлого года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). 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b/>
          <w:sz w:val="28"/>
          <w:lang w:eastAsia="en-US"/>
        </w:rPr>
        <w:t xml:space="preserve">Объем производства продукции сельского хозяйства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 во всех категориях хозяйств составил более 14,1 млрд. рублей – 102,3% к январю – марту 2025 года.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sz w:val="28"/>
          <w:lang w:eastAsia="en-US"/>
        </w:rPr>
        <w:t xml:space="preserve">В хозяйствах всех категорий произведено скота и птицы на убой (в живом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весе) 114,6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 тыс. тонн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– 104,9% к январю – марту 2025 года, молока – 136,8 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тыс. тонн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(100,2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%), яиц – 433,1 млн. штук – 114,9 процента.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b/>
          <w:sz w:val="28"/>
          <w:shd w:val="clear" w:color="auto" w:fill="ffffff"/>
          <w:lang w:eastAsia="en-US"/>
        </w:rPr>
        <w:t xml:space="preserve">Оборот </w:t>
      </w:r>
      <w:r>
        <w:rPr>
          <w:rFonts w:ascii="Times New Roman" w:hAnsi="Times New Roman" w:eastAsia="Times New Roman" w:cs="Times New Roman"/>
          <w:b/>
          <w:sz w:val="28"/>
          <w:lang w:eastAsia="en-US"/>
        </w:rPr>
        <w:t xml:space="preserve">розничной торговли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 составил 63,2 млрд. рублей – 107,3% к январю – марту 2025 года.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b/>
          <w:sz w:val="28"/>
          <w:lang w:eastAsia="en-US"/>
        </w:rPr>
        <w:t xml:space="preserve">Оборот общественного питания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 составил 1,7 млрд. рублей – 86,9% к январю – марту 2025 года. 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b/>
          <w:sz w:val="28"/>
          <w:lang w:eastAsia="en-US"/>
        </w:rPr>
        <w:t xml:space="preserve">Оказано платных услуг</w:t>
      </w:r>
      <w:r>
        <w:rPr>
          <w:rFonts w:ascii="Times New Roman" w:hAnsi="Times New Roman" w:eastAsia="Times New Roman" w:cs="Times New Roman"/>
          <w:sz w:val="28"/>
          <w:lang w:eastAsia="en-US"/>
        </w:rPr>
        <w:t xml:space="preserve"> населению на сумму 13,7 млрд. рублей или 104,8% (в сопоставимых ценах) к январю – марту предыдущего года.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sz w:val="28"/>
          <w:lang w:eastAsia="en-US"/>
        </w:rPr>
        <w:t xml:space="preserve">Преобладающую долю в структуре платных услуг населению занимают транспортные, телекоммуникационные, жилищные и коммунальные услуги. Их совокупный удельный вес составляет 65,9% общего объема. 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t xml:space="preserve">Стоимость условного (минимального) набора продуктов питания в расчете на месяц в среднем по республике в конце марта 2026 года составила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t xml:space="preserve">6 249,01 рубля.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b/>
          <w:bCs/>
          <w:color w:val="00000a"/>
          <w:sz w:val="28"/>
          <w:szCs w:val="28"/>
        </w:rPr>
        <w:t xml:space="preserve">Номинальная начисленная среднемесячная заработная плата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 работников организаций, включая субъекты малого предпринимательства,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январе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феврале 2026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 года (по оперативным данным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Мордовиястата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) составила 68 167,2 рубля с темпом роста к соответствующему периоду 2025 года 111 процентов.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Номинальная начисленная среднемесячная заработная плата по видам экономической деятельности за январь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февраль 2026 года составила: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«обрабатывающие производства» – 82 322,9 рублей (109,9 % к январю-февралю 2025 г.);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«сельское, лесное хозяйство, охота, рыболовство и рыбоводство» –                    83 387,3 рубля (100,9%);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«строительство» – 68 452,5 рубля (117,8%);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«обеспечение электрической энергией, газом и паром; кондиционирование воздуха» – 74 468,3 рубля (119,8%);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«водоснабжение; водоотведение, организация сбора и утилизации отходов, деятельность по ликвидации загрязнений» – 49 462,5 рубля (119,3%).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color w:val="00000a"/>
          <w:sz w:val="28"/>
          <w:szCs w:val="28"/>
        </w:rPr>
        <w:t xml:space="preserve">Заработная плата работников социальной сферы сложилась следующим образом: «деятельность в области здравоохранения и социальных услуг» –    56 790,6 рубля (114,8%), «образование» – 51 874,8 рубля (116,2 %).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Реальная заработная плата составила 105,4 процента.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предварительным данным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Мордовиястата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реальные денежные доходы населения за январь – декабрь 2025 года составили 109,3%, денежные доходы в расчете на душу населения – 44 143,0 рублей с темпом роста к соответствующему периоду 2024 года 119,8 процента.</w:t>
      </w:r>
      <w:bookmarkStart w:id="0" w:name="undefined"/>
      <w:r/>
      <w:bookmarkEnd w:id="0"/>
      <w:r/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Сводный индекс потребительских цен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за январь-март 2026 года составил 105,3 процента.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lang w:eastAsia="en-US"/>
        </w:rPr>
        <w:pBdr>
          <w:bottom w:val="single" w:color="FFFFFF" w:sz="6" w:space="28"/>
        </w:pBd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(по состоянию на 29 апреля 2026 года) – 1 286 человек.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Уровень регистрируемой безработицы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– 0,3 процента.</w:t>
      </w:r>
      <w:r>
        <w:rPr>
          <w:rFonts w:ascii="Times New Roman" w:hAnsi="Times New Roman" w:eastAsia="Times New Roman" w:cs="Times New Roman"/>
          <w:sz w:val="28"/>
          <w:lang w:eastAsia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11698463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</w:style>
  <w:style w:type="paragraph" w:styleId="679">
    <w:name w:val="Heading 1"/>
    <w:basedOn w:val="678"/>
    <w:next w:val="678"/>
    <w:link w:val="707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80">
    <w:name w:val="Heading 2"/>
    <w:basedOn w:val="678"/>
    <w:next w:val="678"/>
    <w:link w:val="708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81">
    <w:name w:val="Heading 3"/>
    <w:basedOn w:val="678"/>
    <w:next w:val="678"/>
    <w:link w:val="709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82">
    <w:name w:val="Heading 4"/>
    <w:basedOn w:val="678"/>
    <w:next w:val="678"/>
    <w:link w:val="710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3">
    <w:name w:val="Heading 5"/>
    <w:basedOn w:val="678"/>
    <w:next w:val="678"/>
    <w:link w:val="711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4">
    <w:name w:val="Heading 6"/>
    <w:basedOn w:val="678"/>
    <w:next w:val="678"/>
    <w:link w:val="712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85">
    <w:name w:val="Heading 7"/>
    <w:basedOn w:val="678"/>
    <w:next w:val="678"/>
    <w:link w:val="713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86">
    <w:name w:val="Heading 8"/>
    <w:basedOn w:val="678"/>
    <w:next w:val="678"/>
    <w:link w:val="714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87">
    <w:name w:val="Heading 9"/>
    <w:basedOn w:val="678"/>
    <w:next w:val="678"/>
    <w:link w:val="715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2" w:customStyle="1">
    <w:name w:val="Heading 2 Char"/>
    <w:basedOn w:val="688"/>
    <w:uiPriority w:val="9"/>
    <w:rPr>
      <w:rFonts w:ascii="Liberation Sans" w:hAnsi="Liberation Sans" w:eastAsia="Liberation Sans" w:cs="Liberation Sans"/>
      <w:sz w:val="34"/>
    </w:rPr>
  </w:style>
  <w:style w:type="character" w:styleId="693" w:customStyle="1">
    <w:name w:val="Heading 3 Char"/>
    <w:basedOn w:val="68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4" w:customStyle="1">
    <w:name w:val="Heading 4 Char"/>
    <w:basedOn w:val="68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5" w:customStyle="1">
    <w:name w:val="Heading 5 Char"/>
    <w:basedOn w:val="68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6" w:customStyle="1">
    <w:name w:val="Heading 6 Char"/>
    <w:basedOn w:val="68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7" w:customStyle="1">
    <w:name w:val="Heading 7 Char"/>
    <w:basedOn w:val="6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8" w:customStyle="1">
    <w:name w:val="Heading 8 Char"/>
    <w:basedOn w:val="68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 w:customStyle="1">
    <w:name w:val="Heading 9 Char"/>
    <w:basedOn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0" w:customStyle="1">
    <w:name w:val="Title Char"/>
    <w:basedOn w:val="688"/>
    <w:uiPriority w:val="10"/>
    <w:rPr>
      <w:sz w:val="48"/>
      <w:szCs w:val="48"/>
    </w:rPr>
  </w:style>
  <w:style w:type="character" w:styleId="701" w:customStyle="1">
    <w:name w:val="Subtitle Char"/>
    <w:basedOn w:val="688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Caption Char"/>
    <w:basedOn w:val="688"/>
    <w:uiPriority w:val="35"/>
    <w:rPr>
      <w:b/>
      <w:bCs/>
      <w:color w:val="4f81bd" w:themeColor="accent1"/>
      <w:sz w:val="18"/>
      <w:szCs w:val="18"/>
    </w:rPr>
  </w:style>
  <w:style w:type="character" w:styleId="705" w:customStyle="1">
    <w:name w:val="Footnote Text Char"/>
    <w:uiPriority w:val="99"/>
    <w:rPr>
      <w:sz w:val="18"/>
    </w:rPr>
  </w:style>
  <w:style w:type="character" w:styleId="706" w:customStyle="1">
    <w:name w:val="Endnote Text Char"/>
    <w:uiPriority w:val="99"/>
    <w:rPr>
      <w:sz w:val="20"/>
    </w:rPr>
  </w:style>
  <w:style w:type="character" w:styleId="707" w:customStyle="1">
    <w:name w:val="Заголовок 1 Знак"/>
    <w:basedOn w:val="688"/>
    <w:link w:val="67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8" w:customStyle="1">
    <w:name w:val="Заголовок 2 Знак"/>
    <w:basedOn w:val="688"/>
    <w:link w:val="680"/>
    <w:uiPriority w:val="9"/>
    <w:rPr>
      <w:rFonts w:ascii="Liberation Sans" w:hAnsi="Liberation Sans" w:eastAsia="Liberation Sans" w:cs="Liberation Sans"/>
      <w:sz w:val="34"/>
    </w:rPr>
  </w:style>
  <w:style w:type="character" w:styleId="709" w:customStyle="1">
    <w:name w:val="Заголовок 3 Знак"/>
    <w:basedOn w:val="688"/>
    <w:link w:val="68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0" w:customStyle="1">
    <w:name w:val="Заголовок 4 Знак"/>
    <w:basedOn w:val="688"/>
    <w:link w:val="68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1" w:customStyle="1">
    <w:name w:val="Заголовок 5 Знак"/>
    <w:basedOn w:val="688"/>
    <w:link w:val="68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2" w:customStyle="1">
    <w:name w:val="Заголовок 6 Знак"/>
    <w:basedOn w:val="688"/>
    <w:link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3" w:customStyle="1">
    <w:name w:val="Заголовок 7 Знак"/>
    <w:basedOn w:val="688"/>
    <w:link w:val="6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4" w:customStyle="1">
    <w:name w:val="Заголовок 8 Знак"/>
    <w:basedOn w:val="688"/>
    <w:link w:val="6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5" w:customStyle="1">
    <w:name w:val="Заголовок 9 Знак"/>
    <w:basedOn w:val="688"/>
    <w:link w:val="6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6">
    <w:name w:val="List Paragraph"/>
    <w:basedOn w:val="678"/>
    <w:uiPriority w:val="34"/>
    <w:qFormat/>
    <w:pPr>
      <w:contextualSpacing/>
      <w:ind w:left="720"/>
    </w:pPr>
  </w:style>
  <w:style w:type="paragraph" w:styleId="717">
    <w:name w:val="Title"/>
    <w:basedOn w:val="678"/>
    <w:next w:val="678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Заголовок Знак"/>
    <w:basedOn w:val="688"/>
    <w:link w:val="717"/>
    <w:uiPriority w:val="10"/>
    <w:rPr>
      <w:sz w:val="48"/>
      <w:szCs w:val="48"/>
    </w:rPr>
  </w:style>
  <w:style w:type="paragraph" w:styleId="719">
    <w:name w:val="Subtitle"/>
    <w:basedOn w:val="678"/>
    <w:next w:val="678"/>
    <w:link w:val="720"/>
    <w:uiPriority w:val="11"/>
    <w:qFormat/>
    <w:pPr>
      <w:spacing w:before="200"/>
    </w:pPr>
    <w:rPr>
      <w:sz w:val="24"/>
      <w:szCs w:val="24"/>
    </w:rPr>
  </w:style>
  <w:style w:type="character" w:styleId="720" w:customStyle="1">
    <w:name w:val="Подзаголовок Знак"/>
    <w:basedOn w:val="688"/>
    <w:link w:val="719"/>
    <w:uiPriority w:val="11"/>
    <w:rPr>
      <w:sz w:val="24"/>
      <w:szCs w:val="24"/>
    </w:rPr>
  </w:style>
  <w:style w:type="paragraph" w:styleId="721">
    <w:name w:val="Quote"/>
    <w:basedOn w:val="678"/>
    <w:next w:val="678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8"/>
    <w:next w:val="678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688"/>
    <w:uiPriority w:val="99"/>
  </w:style>
  <w:style w:type="character" w:styleId="726" w:customStyle="1">
    <w:name w:val="Footer Char"/>
    <w:basedOn w:val="688"/>
    <w:uiPriority w:val="99"/>
  </w:style>
  <w:style w:type="paragraph" w:styleId="727">
    <w:name w:val="Caption"/>
    <w:basedOn w:val="678"/>
    <w:next w:val="678"/>
    <w:link w:val="72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8" w:customStyle="1">
    <w:name w:val="Название объекта Знак"/>
    <w:basedOn w:val="688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6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0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2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3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0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678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688"/>
    <w:uiPriority w:val="99"/>
    <w:unhideWhenUsed/>
    <w:rPr>
      <w:vertAlign w:val="superscript"/>
    </w:rPr>
  </w:style>
  <w:style w:type="paragraph" w:styleId="859">
    <w:name w:val="endnote text"/>
    <w:basedOn w:val="678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88"/>
    <w:uiPriority w:val="99"/>
    <w:semiHidden/>
    <w:unhideWhenUsed/>
    <w:rPr>
      <w:vertAlign w:val="superscript"/>
    </w:rPr>
  </w:style>
  <w:style w:type="paragraph" w:styleId="862">
    <w:name w:val="toc 1"/>
    <w:basedOn w:val="678"/>
    <w:next w:val="678"/>
    <w:uiPriority w:val="39"/>
    <w:unhideWhenUsed/>
    <w:pPr>
      <w:spacing w:after="57"/>
    </w:pPr>
  </w:style>
  <w:style w:type="paragraph" w:styleId="863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64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65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66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67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68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69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70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8"/>
    <w:next w:val="678"/>
    <w:uiPriority w:val="99"/>
    <w:unhideWhenUsed/>
    <w:pPr>
      <w:spacing w:after="0"/>
    </w:pPr>
  </w:style>
  <w:style w:type="paragraph" w:styleId="873">
    <w:name w:val="No Spacing"/>
    <w:uiPriority w:val="1"/>
    <w:qFormat/>
    <w:pPr>
      <w:spacing w:after="0" w:line="240" w:lineRule="auto"/>
    </w:pPr>
    <w:rPr>
      <w:rFonts w:cs="Times New Roman" w:eastAsiaTheme="minorHAnsi"/>
      <w:lang w:eastAsia="en-US"/>
    </w:rPr>
  </w:style>
  <w:style w:type="paragraph" w:styleId="874">
    <w:name w:val="Balloon Text"/>
    <w:basedOn w:val="678"/>
    <w:link w:val="87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5" w:customStyle="1">
    <w:name w:val="Текст выноски Знак"/>
    <w:basedOn w:val="688"/>
    <w:link w:val="874"/>
    <w:uiPriority w:val="99"/>
    <w:semiHidden/>
    <w:rPr>
      <w:rFonts w:ascii="Segoe UI" w:hAnsi="Segoe UI" w:cs="Segoe UI"/>
      <w:sz w:val="18"/>
      <w:szCs w:val="18"/>
    </w:rPr>
  </w:style>
  <w:style w:type="paragraph" w:styleId="876">
    <w:name w:val="Header"/>
    <w:basedOn w:val="678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688"/>
    <w:link w:val="876"/>
    <w:uiPriority w:val="99"/>
  </w:style>
  <w:style w:type="paragraph" w:styleId="878">
    <w:name w:val="Footer"/>
    <w:basedOn w:val="678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688"/>
    <w:link w:val="87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B5AA-E167-4BED-830C-8CC15C67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balyaeva_ur</cp:lastModifiedBy>
  <cp:revision>536</cp:revision>
  <dcterms:created xsi:type="dcterms:W3CDTF">2023-01-17T11:56:00Z</dcterms:created>
  <dcterms:modified xsi:type="dcterms:W3CDTF">2026-05-06T06:33:27Z</dcterms:modified>
</cp:coreProperties>
</file>