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sz w:val="32"/>
          <w:szCs w:val="32"/>
        </w:rPr>
      </w:r>
      <w:bookmarkStart w:id="0" w:name="_GoBack"/>
      <w:r>
        <w:rPr>
          <w:sz w:val="32"/>
          <w:szCs w:val="32"/>
        </w:rPr>
      </w:r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Руководство по соблюдению обязательных требований в рамках регионального государственного контроля (надзора) сфере туристской индустрии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</w:r>
      <w:r>
        <w:rPr>
          <w:rFonts w:ascii="Times New Roman" w:hAnsi="Times New Roman" w:cs="Times New Roman"/>
          <w:b/>
          <w:sz w:val="28"/>
          <w:szCs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Перечень обязательных требований, предъявляемых к юридическим лицам, индивидуальным предпринимателям и физическим лицам, которые осуществляют деятельность, связанную с использованием средств размещения.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</w:r>
      <w:r>
        <w:rPr>
          <w:rFonts w:ascii="Times New Roman" w:hAnsi="Times New Roman" w:cs="Times New Roman"/>
          <w:b/>
          <w:sz w:val="28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1)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Наличие сведений о средстве размещения в реестре классифицированных средств размещения.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Средства размещения, осуществляющие деятельность по предоставлению гостиничных услуг, обязаны проходить процедуру классификации.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Для этого владелец средства размещения должен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обеспечить оценку соответствия средства размещения требованиям к типу средства размещения в соответствии с Постановлением Правительства Российской Ф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едерации от 27 декабря 2024 г.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№ 1951 «Об утверждении Положения о классификации средств размещения» и включение документов и (или) сведений, подтверждающих соответствие средства размещения требованиям к типу средств размещения, в реестр классифицированных средств размещения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 результатам классификации объект включается в единый реестр классифицированных средств размещения. Деятельность без наличия сведений в этом реестре является нарушением обязательного требования. Само по себе ведение хозяйственной деятельности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без прохождения классификации не допускается.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Иными словами, необходимо пройти «самооценку» средства размещения во ФГИС «Гостеприимство» https://tourism.fsa.gov.ru/ru/main: авторизоваться через Госуслуги как организации/ИП, внести необходимые данные и документы. </w:t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Внесение сведений о средстве размещения в реестр дает право на предоставление гостиничных услуг (услуг по временному размещению).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случае, если владелец средства размещения желает, чтобы его средству размещения была присвоена категория («звездность»), 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ему необходимо через свой личный кабинет во ФГИС «Гостеприимство» выбрать организацию, которая имеет аккредитацию на категорирование гостиниц, и подать заявление о категорировании. Данная процедура не является обязательной.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баз отдыха и кемпингов кат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егорирование (присвоение «звезд») не предусмотрено.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Классификация действует в течение 3 лет. Каждые 3 года необходимо проходить плановое подтверждение соответствия заявленным типу и категории средства размещения, т.е. проходить «самооценку». За 90 дней до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окончания действия классификации Росаккредитация направит владельцу средства размещения в личный кабинет во ФГИС «Гостеприимство» и в мобильное приложение «Инспектор» уведомление о необходимости пройти плановое подтверждение соответствия. В случае если 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какой-то причине владелец средства размещения не успел пройти плановое подтверждение до истечения 3-летнего срока со дня внесения в реестр, классификация средства размещения будет автоматически приостановлена (появится статус «приостановлен»). Этот статус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действует в течение 30 дней, в течение которых можно пройти самооценку, и средство размещения опять перейдет в статус «действующий».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Владелец средства размещения в течение срока приостановления действия классификации средства размещения: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- вправе продолжит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ь предоставление услуг средства размещения, гостиничных услуг в соответствии с обязательствами, оформленными до дня приостановления действия классификации средства размещения, с обязательным информированием потребителей о приостановлении действия классифик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ации средства размещения;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обязан приостановить заключение договоров о предоставлении услуг средства размещения, договоров о предоставлении гостиничных услуг, рекламу и размещение сведений о предоставлении услуг средства размещения, гостиничных услуг со 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ня приостановления действия классификации средства размещения;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обязан устранить обстоятельства, послужившие основанием для приостановления действия классификации средства размещения.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Классификация средства размещения может быть приостановлена или прекращ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ена по основаниям, указанным в статье 5.1 Федерального закона от 24.11.1996 №132-ФЗ «Об основах туристской деятельности в Российской Федерации».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прекращения классификации (появления статуса «прекращен» во ФГИС «Гостеприимство») владелец средства 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азмещения со дня прекращения действия классификации средства размещения не вправе предоставлять услуги средства размещения, гостиничные услуги, а также обязан прекратить рекламу и размещение сведений о предоставлении услуг средства размещения, гостиничных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услуг.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Классификация «привязана» к конкретному владельцу. В случае, если владелец средства размещения решил продать свое средство размещение 3 (сдать в аренду, пользование и т.п.), и услуги средства размещения, гостиничные услуги будет предоставлять иное 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ицо, то необходимо письменно уведомить об этом Министерство экономики, торговли и предпринимательства Республики Мордовия (написать заявление о прекращении деятельности по предоставлению гостиничных услуг, услуг средства размещения). Министерство экономики, торговли и предпринимательства Республики Мордовия классификацию сре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дства размещения прекратит, а новый владелец обязан будет пройти ее самостоятельно. </w:t>
      </w:r>
    </w:p>
    <w:p>
      <w:pPr>
        <w:pStyle w:val="669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ст. 19.5 Федеральный закон от 24 ноября 1996 г. № 132-ФЗ «Об основах туристской деятельности в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аздел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27 декабря </w:t>
      </w:r>
      <w:r>
        <w:rPr>
          <w:rFonts w:ascii="Times New Roman" w:hAnsi="Times New Roman" w:cs="Times New Roman"/>
          <w:sz w:val="24"/>
          <w:szCs w:val="24"/>
        </w:rPr>
        <w:t xml:space="preserve">2024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z w:val="24"/>
          <w:szCs w:val="24"/>
        </w:rPr>
        <w:t xml:space="preserve"> 1952 «Об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индустрии».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2) Соответствие средства размещения требованиям к соответствующему типу средств размещения, установленным </w:t>
      </w:r>
      <w:hyperlink r:id="rId9" w:tooltip="Постановление Правительства РФ от 27.12.2024 N 1951 &quot;Об утверждении Положения о классификации средств размещения&quot; {КонсультантПлюс}" w:history="1">
        <w:r>
          <w:rPr>
            <w:rFonts w:ascii="Times New Roman" w:hAnsi="Times New Roman" w:cs="Times New Roman"/>
            <w:b/>
            <w:bCs/>
            <w:sz w:val="24"/>
            <w:szCs w:val="24"/>
            <w:u w:val="none"/>
          </w:rPr>
          <w:t xml:space="preserve">Положением</w:t>
        </w:r>
      </w:hyperlink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о классификации средств размещения, утвержденным постановлением Правительств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а Российской Федерации от 27 декабря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2024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№ 1951.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  <w:t xml:space="preserve">Каждое средст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  <w:t xml:space="preserve">во размещения д</w:t>
      </w:r>
      <w:r>
        <w:rPr>
          <w:rFonts w:ascii="Times New Roman" w:hAnsi="Times New Roman" w:cs="Times New Roman"/>
          <w:sz w:val="24"/>
          <w:szCs w:val="24"/>
        </w:rPr>
        <w:t xml:space="preserve">олжно соответствовать установленным признакам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характеристикам, определяющим его тип. К таким признакам относятся: количество номеров, наличие ре</w:t>
      </w:r>
      <w:r>
        <w:rPr>
          <w:rFonts w:ascii="Times New Roman" w:hAnsi="Times New Roman" w:cs="Times New Roman"/>
          <w:sz w:val="24"/>
          <w:szCs w:val="24"/>
        </w:rPr>
        <w:t xml:space="preserve">цепции, тип размещения (индивидуальное или групповое), оснащённость санитарно-гигиеническими узлами, организация доступа и безопасности. Например, для гостиницы требуется определённый уровень оснащения и наличие ряда обязательных услуг, в то время как для </w:t>
      </w:r>
      <w:r>
        <w:rPr>
          <w:rFonts w:ascii="Times New Roman" w:hAnsi="Times New Roman" w:cs="Times New Roman"/>
          <w:sz w:val="24"/>
          <w:szCs w:val="24"/>
        </w:rPr>
        <w:t xml:space="preserve">базы отдыха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предусмотрены иные, более специфические требования. Если фактическое состояние объекта не соответствует типу, указанному в классификации, это расценивается как нарушение.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 </w:t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ст. 19.5 Федеральный закон от 24 ноября 1996 г. № 132-ФЗ «Об основах туристской деятельности в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аздел II 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27 декабря 2024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z w:val="24"/>
          <w:szCs w:val="24"/>
        </w:rPr>
        <w:t xml:space="preserve"> 1951 «Об утверждении Положения о классификации средств </w:t>
      </w:r>
      <w:r>
        <w:rPr>
          <w:rFonts w:ascii="Times New Roman" w:hAnsi="Times New Roman" w:cs="Times New Roman"/>
          <w:sz w:val="24"/>
          <w:szCs w:val="24"/>
        </w:rPr>
        <w:t xml:space="preserve">размещения»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3) Соответствие средства размещения типу и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(или) типу и категории, указанным в реестре классифицированных средств размещения.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Фактические условия предоставления услуг, оборудование, перечень сервисов, площадь номеров и других помещений, а также качество обслуживания должны соответствовать данным, которые были отражены при прохождении классификации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зафиксированы в реестре. Средство размещения обязано сохранять соответствие заявленным характеристикам на всём протяжении срока действия классификации. Несоответствие типу или категории может служить основанием для пересмотра статуса объекта.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 </w:t>
      </w:r>
      <w:r>
        <w:rPr>
          <w:rFonts w:ascii="Times New Roman" w:hAnsi="Times New Roman" w:cs="Times New Roman"/>
          <w:sz w:val="24"/>
          <w:szCs w:val="24"/>
        </w:rPr>
        <w:t xml:space="preserve">- ст. 19.5 Федеральный закон от 24 ноября 1996 г. № 132-ФЗ «Об основах туристской деятельности в Российской Федерации».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4) Соответствие типа и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(или) категории средства размещения, используемых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в рекламе, названии средства размещения, а также в деятельности, связанной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с использованием средства размещения, типу и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(или) категории, указанным в реестре классифицированных средств размещения.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размещении информации о средстве размещения в любых ф</w:t>
      </w:r>
      <w:r>
        <w:rPr>
          <w:rFonts w:ascii="Times New Roman" w:hAnsi="Times New Roman" w:cs="Times New Roman"/>
          <w:sz w:val="24"/>
          <w:szCs w:val="24"/>
        </w:rPr>
        <w:t xml:space="preserve">ормах публичной коммуникации (на сайте, в рекламных объявлениях, в оформлении фасада, на стойке регистрации и др.) должны использоваться только те сведения о типе и/или категории, которые официально присвоены в рамках классификации и внесены в реестр. Указ</w:t>
      </w:r>
      <w:r>
        <w:rPr>
          <w:rFonts w:ascii="Times New Roman" w:hAnsi="Times New Roman" w:cs="Times New Roman"/>
          <w:sz w:val="24"/>
          <w:szCs w:val="24"/>
        </w:rPr>
        <w:t xml:space="preserve">ание несуществующих категорий («5 звёзд» при отсутствии классификации), использование терминов, вводящих в заблуждение («отель премиум-класса» при отсутствии подтверждённой категории), либо искажение типа («гостиница» вместо «хостел») считается нарушением.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ст. 19.5 Федеральный закон от 24 ноября 1996 г. № 132-ФЗ «Об основах туристской деяте</w:t>
      </w:r>
      <w:r>
        <w:rPr>
          <w:rFonts w:ascii="Times New Roman" w:hAnsi="Times New Roman" w:cs="Times New Roman"/>
          <w:sz w:val="24"/>
          <w:szCs w:val="24"/>
        </w:rPr>
        <w:t xml:space="preserve">льности в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</w:t>
      </w:r>
      <w:r>
        <w:rPr>
          <w:rFonts w:ascii="Times New Roman" w:hAnsi="Times New Roman" w:cs="Times New Roman"/>
          <w:sz w:val="24"/>
          <w:szCs w:val="24"/>
        </w:rPr>
        <w:t xml:space="preserve">аздел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27 декабря 2024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z w:val="24"/>
          <w:szCs w:val="24"/>
        </w:rPr>
        <w:t xml:space="preserve"> 1952 «Об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5) Наличие ссылки в ин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формационно-телекоммуникационной сети «Интернет» на запись в реестре классифицированных средств размещения, содержащую сведения о средстве размещения, а также соответствие сведений о средстве размещения, представленных в информации о предоставлении услуг с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редства размещения, гостиничных услуг на сайте владельца агрегатора информации об услугах или владельца сервиса размещения объявлений в сети «Интернет», аналогичным сведениям о средстве размещения, указанным в реестре классифицированных средств размещения.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всех официальных информационных ресурсах средства размещения (включая собственные сайты, страницы в агре</w:t>
      </w:r>
      <w:r>
        <w:rPr>
          <w:rFonts w:ascii="Times New Roman" w:hAnsi="Times New Roman" w:cs="Times New Roman"/>
          <w:sz w:val="24"/>
          <w:szCs w:val="24"/>
        </w:rPr>
        <w:t xml:space="preserve">гаторах туристических услуг и на сайтах размещения объявлений) должна быть размещена активная ссылка на запись в реестре классифицированных средств размещения. Кроме того, вся информация о характеристиках, типе, категории, адресе и наименовании объекта, пр</w:t>
      </w:r>
      <w:r>
        <w:rPr>
          <w:rFonts w:ascii="Times New Roman" w:hAnsi="Times New Roman" w:cs="Times New Roman"/>
          <w:sz w:val="24"/>
          <w:szCs w:val="24"/>
        </w:rPr>
        <w:t xml:space="preserve">едставляемая в сети Интернет, должна быть полностью идентична тем сведениям, которые указаны в реестре. Любое расхождение между представленной информацией и реестровыми данными рассматривается как нарушение требований к достоверности и открытости сведений.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ст. 19.5 Федеральный закон от 24 ноября 1996 г. № 132-ФЗ «Об основах туристской деятельности в Российской Федерации».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6) Соблюдение правил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в области защиты прав потребителей).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71"/>
        <w:spacing w:before="0" w:beforeAutospacing="0" w:after="0" w:afterAutospacing="0"/>
        <w:ind w:firstLine="709"/>
        <w:jc w:val="both"/>
      </w:pPr>
      <w:r>
        <w:t xml:space="preserve">Юридические лица, индивидуальные предприниматели и физические лица</w:t>
      </w:r>
      <w:r>
        <w:t xml:space="preserve"> оказывающие гостиничные услуги, обязаны </w:t>
      </w:r>
      <w:r>
        <w:t xml:space="preserve">довести до сведения потребителя информацию об оказываемых им услугах, которая должна содержать</w:t>
      </w:r>
      <w:r>
        <w:t xml:space="preserve">, в том числе уникальный номер реестровой записи о средстве размещения, присвоенный гостинице в реестре классифицированных средств размещения, ссылку в информац</w:t>
      </w:r>
      <w:r>
        <w:t xml:space="preserve">ионно-телекоммуникационной сети «Интернет» на запись в реестре классифицированных средств размещения, содержащую сведения о гостинице, а также в случае присвоения гостинице определенной категории сведения о присвоенной гостинице категории, предусмотренной </w:t>
      </w:r>
      <w:r>
        <w:t xml:space="preserve">положением</w:t>
      </w:r>
      <w:r>
        <w:t xml:space="preserve"> о классификации средств размещения, утверждаемым в соответствии </w:t>
      </w:r>
      <w:r>
        <w:br/>
      </w:r>
      <w:r>
        <w:t xml:space="preserve">со </w:t>
      </w:r>
      <w:r>
        <w:t xml:space="preserve">статьей 5.1</w:t>
      </w:r>
      <w:r>
        <w:t xml:space="preserve"> Федерального закона «Об основах туристской деятельности в Российской Федерации», об организации, осуществляющей классификацию средств размещения, горнолыжных трасс, пляжей, аккредитованной в соответствии с Федеральным </w:t>
      </w:r>
      <w:r>
        <w:t xml:space="preserve">законом</w:t>
      </w:r>
      <w:r>
        <w:t xml:space="preserve"> </w:t>
      </w:r>
      <w:r>
        <w:br/>
      </w:r>
      <w:r>
        <w:t xml:space="preserve">«Об основах туристской деятельности в Российской Федерации» и присвоившей гостинице определенную категорию, а также о приостановлении действия классификации гостиницы и (или) приостановлении действия присвоенной категории гостиницы.</w:t>
      </w:r>
    </w:p>
    <w:p>
      <w:pPr>
        <w:pStyle w:val="669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 </w:t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ст. 19.5 Федеральный закон от 24 ноября 1996 г. № 132-ФЗ «Об основах туристской деяте</w:t>
      </w:r>
      <w:r>
        <w:rPr>
          <w:rFonts w:ascii="Times New Roman" w:hAnsi="Times New Roman" w:cs="Times New Roman"/>
          <w:sz w:val="24"/>
          <w:szCs w:val="24"/>
        </w:rPr>
        <w:t xml:space="preserve">льности в Российской Федерации»;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остановление 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br/>
        <w:t xml:space="preserve">18 ноября </w:t>
      </w:r>
      <w:r>
        <w:rPr>
          <w:rFonts w:ascii="Times New Roman" w:hAnsi="Times New Roman" w:cs="Times New Roman"/>
          <w:sz w:val="24"/>
          <w:szCs w:val="24"/>
        </w:rPr>
        <w:t xml:space="preserve">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№ 1853 «Об утверждении Правил предоставления гостиничных услуг в Российской Федерации».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7) 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облюдение порядка обеспечения условий доступности для инвалидов объектов туристкой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 индустрии, подлежащих классификации в соответствии с </w:t>
      </w:r>
      <w:hyperlink r:id="rId10" w:tooltip="https://internet.garant.ru/#/document/136248/entry/2" w:history="1">
        <w:r>
          <w:rPr>
            <w:rStyle w:val="668"/>
            <w:rFonts w:ascii="Times New Roman" w:hAnsi="Times New Roman" w:eastAsia="Times New Roman" w:cs="Times New Roman"/>
            <w:b/>
            <w:bCs/>
            <w:color w:val="000000" w:themeColor="text1"/>
            <w:sz w:val="24"/>
            <w:szCs w:val="24"/>
            <w:highlight w:val="white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 Российской Федерации о туристкой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 деятельности (за исключением объектов, относящихся к средствам размещения в соответствии с </w:t>
      </w:r>
      <w:hyperlink r:id="rId11" w:tooltip="https://internet.garant.ru/#/document/412133560/entry/0" w:history="1">
        <w:r>
          <w:rPr>
            <w:rStyle w:val="668"/>
            <w:rFonts w:ascii="Times New Roman" w:hAnsi="Times New Roman" w:eastAsia="Times New Roman" w:cs="Times New Roman"/>
            <w:b/>
            <w:bCs/>
            <w:color w:val="000000" w:themeColor="text1"/>
            <w:sz w:val="24"/>
            <w:szCs w:val="24"/>
            <w:highlight w:val="white"/>
            <w:u w:val="non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 от 7 июня 2025 г. N 127-ФЗ "О проведении эксперимента по предоставлению услуг гостевых домов", и предоставляемых в них услуг), объема и содержания мер по обеспечению условий доступности для инвалидов указанных объектов и предоставляемых в них услуг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 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Реализация мер по обеспечению условий доступности для инвалидов объектов туристской индустрии, подлежащих классификации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осуществляется субъектом туристской индустрии, осуществляющим предоставление услуг в объекте.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Субъект осуществляет реализацию мер для беспрепятственного доступа к объекту и предоставляемым в нем услугам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Порядком обеспечения условий доступности для инвалидов объектов туристской индустрии, подлежащих классификации в соответствии с законодательством Российс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кой Федерации о туристской деятельности (за исключением объектов, относящихся к средствам размещения в соответствии с Федеральным законом от 7 июня 2025 г. № 127-ФЗ «О проведении эксперимента по предоставлению услуг гостевых домов», и предоставляемых в них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услуг), включая объем и содержание мер по обеспечению условий доступности для инвалидов указанных объектов и предоставляемых в них услуг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иказом Министерства экономического развития Российской Федерации от 6 мая 2026 г. № 368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Субъект обеспечивает размещение на официальном сайте объекта в информационно-телекоммуникационной сети "Интернет", на официальных страницах объекта в социальных сетях информации об условиях доступности для инвалидов объекта и предоставляемых в нем услуг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включая информацию о соответствии объекта требованиям, предусмотренным указанным Порядком, а также об иных мерах, предусмотренных для обеспечения доступности для инвалида объекта и предоставляемых в нем услуг.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  <w:t xml:space="preserve">Основание: </w:t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i/>
          <w:color w:val="000000" w:themeColor="text1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ст. 19.5 Федеральный закон от 24 ноября 1996 г. № 132-ФЗ «Об основах туристской деяте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льности в Российской Федерации»;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t xml:space="preserve">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иказ Министерства экономического развития Российской Федерации от 6 мая 2026 г. № 368 «Об утверждении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кой Федерации о туристской деятельности (за исключением объектов, относящихся к средствам размещения в соответствии с Федеральным законом от 7 июня 2025 г. № 127-ФЗ «О проведении эксперимента по предоставлению услуг гостевых домов», и предоставляемых в них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 услуг), включая объем и содержание мер по обеспечению условий доступности для инвалидов указанных объектов и предоставляемых в них услуг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Перечень обязательных требований, предъявляемых к юридическим лицам, индивидуальным предпринимателям и физическим лицам, которые осуществляют деятельность, связанную с использованием горнолыжных трасс или пляжей.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none"/>
        </w:rPr>
      </w:pPr>
      <w:r>
        <w:rPr>
          <w:rFonts w:ascii="Times New Roman" w:hAnsi="Times New Roman" w:cs="Times New Roman"/>
          <w:b/>
          <w:bCs/>
          <w:sz w:val="24"/>
          <w:u w:val="none"/>
        </w:rPr>
        <w:t xml:space="preserve">Соответствие категории горнолыжной трассы или категории пляжа, используемых в</w:t>
      </w:r>
      <w:r>
        <w:rPr>
          <w:rFonts w:ascii="Times New Roman" w:hAnsi="Times New Roman" w:cs="Times New Roman"/>
          <w:b/>
          <w:bCs/>
          <w:sz w:val="24"/>
          <w:u w:val="none"/>
        </w:rPr>
        <w:t xml:space="preserve"> рекламе, названии горнолыжной трассы или пляжа и деятельности, связанной с использованием горнолыжной трассы или пляжа, категории горнолыжной трассы или пляжа, указанным в реестре классифицированных горнолыжных трасс или реестре классифицированных пляжей.</w:t>
      </w:r>
      <w:r>
        <w:rPr>
          <w:rFonts w:ascii="Times New Roman" w:hAnsi="Times New Roman" w:cs="Times New Roman"/>
          <w:b/>
          <w:bCs/>
          <w:sz w:val="24"/>
          <w:u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none"/>
        </w:rPr>
      </w:pPr>
      <w:r>
        <w:rPr>
          <w:rFonts w:ascii="Times New Roman" w:hAnsi="Times New Roman" w:cs="Times New Roman"/>
          <w:b/>
          <w:bCs/>
          <w:sz w:val="24"/>
          <w:u w:val="none"/>
        </w:rPr>
      </w:r>
      <w:r>
        <w:rPr>
          <w:rFonts w:ascii="Times New Roman" w:hAnsi="Times New Roman" w:cs="Times New Roman"/>
          <w:b/>
          <w:bCs/>
          <w:sz w:val="24"/>
          <w:u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Пример 1: сведения о горнолыжной трассе «</w:t>
      </w:r>
      <w:r>
        <w:rPr>
          <w:rFonts w:ascii="Times New Roman" w:hAnsi="Times New Roman" w:cs="Times New Roman"/>
          <w:sz w:val="24"/>
          <w:lang w:val="en-US"/>
        </w:rPr>
        <w:t xml:space="preserve">N</w:t>
      </w:r>
      <w:r>
        <w:rPr>
          <w:rFonts w:ascii="Times New Roman" w:hAnsi="Times New Roman" w:cs="Times New Roman"/>
          <w:sz w:val="24"/>
        </w:rPr>
        <w:t xml:space="preserve">» размещены на сайте «Яндекс.Путешествия», где говорится, что «</w:t>
      </w:r>
      <w:r>
        <w:rPr>
          <w:rFonts w:ascii="Times New Roman" w:hAnsi="Times New Roman" w:cs="Times New Roman"/>
          <w:sz w:val="24"/>
          <w:lang w:val="en-US"/>
        </w:rPr>
        <w:t xml:space="preserve">N</w:t>
      </w:r>
      <w:r>
        <w:rPr>
          <w:rFonts w:ascii="Times New Roman" w:hAnsi="Times New Roman" w:cs="Times New Roman"/>
          <w:sz w:val="24"/>
        </w:rPr>
        <w:t xml:space="preserve">» является трассой категории «зеленая», однако сведения о трассе «</w:t>
      </w:r>
      <w:r>
        <w:rPr>
          <w:rFonts w:ascii="Times New Roman" w:hAnsi="Times New Roman" w:cs="Times New Roman"/>
          <w:sz w:val="24"/>
          <w:lang w:val="en-US"/>
        </w:rPr>
        <w:t xml:space="preserve">N</w:t>
      </w:r>
      <w:r>
        <w:rPr>
          <w:rFonts w:ascii="Times New Roman" w:hAnsi="Times New Roman" w:cs="Times New Roman"/>
          <w:sz w:val="24"/>
        </w:rPr>
        <w:t xml:space="preserve">» отсутствуют в едином реестре объектов классификации в сфере туристской индустрии. </w:t>
      </w:r>
      <w:r>
        <w:rPr>
          <w:rFonts w:ascii="Times New Roman" w:hAnsi="Times New Roman" w:cs="Times New Roman"/>
          <w:sz w:val="24"/>
          <w:u w:val="single"/>
        </w:rPr>
        <w:t xml:space="preserve">Это нарушение.</w:t>
      </w:r>
      <w:r>
        <w:rPr>
          <w:rFonts w:ascii="Times New Roman" w:hAnsi="Times New Roman" w:cs="Times New Roman"/>
          <w:sz w:val="24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Пример 2: На пляже «Х», сведения о котором включены в единый реестр объектов классификации в сфере туристской индустрии с категорией «синий флаг», перестал функционировать медицинский пункт, но сведения в реестре остались без изменения. </w:t>
      </w:r>
      <w:r>
        <w:rPr>
          <w:rFonts w:ascii="Times New Roman" w:hAnsi="Times New Roman" w:cs="Times New Roman"/>
          <w:sz w:val="24"/>
          <w:u w:val="single"/>
        </w:rPr>
        <w:t xml:space="preserve">Это нарушение, т.к. наличие медицинского пункта является требованием к категориям пляжей «синий флаг» и «зеленый флаг»</w:t>
      </w:r>
      <w:r>
        <w:rPr>
          <w:rFonts w:ascii="Times New Roman" w:hAnsi="Times New Roman" w:cs="Times New Roman"/>
          <w:sz w:val="24"/>
          <w:u w:val="single"/>
        </w:rPr>
        <w:t xml:space="preserve">.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Основание:</w:t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ст. 19.5 Федеральный закон от 24 ноября 1996 г. 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4"/>
        </w:rPr>
        <w:t xml:space="preserve">;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п</w:t>
      </w:r>
      <w:r>
        <w:rPr>
          <w:rFonts w:ascii="Times New Roman" w:hAnsi="Times New Roman" w:cs="Times New Roman"/>
          <w:sz w:val="24"/>
        </w:rPr>
        <w:t xml:space="preserve">риказ Министерства экономического развития Российской Федерации от 9 января 2024 г. № 9 «Об утверждении Правил классификации горнолыжных трасс, классификации пляжей»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Перечень обязательных требований, предъявляемых к юридическим лицам, индивидуальным предпринимателям и физическим лицам, которые осуществляют деятельность по оказанию услуг экскурсоводов (гидов) и (или) гидов-переводчиков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9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 xml:space="preserve">1) Наличие действующей аттестации и нагрудной идентификационной карточки экскурсоводов (гидов) и гидов-переводчиков при оказании ими услуг. </w:t>
      </w:r>
      <w:r>
        <w:rPr>
          <w:rFonts w:ascii="Times New Roman" w:hAnsi="Times New Roman" w:cs="Times New Roman"/>
          <w:b/>
          <w:bCs/>
          <w:sz w:val="24"/>
          <w:szCs w:val="24"/>
          <w:u w:val="none"/>
        </w:rPr>
      </w:r>
    </w:p>
    <w:p>
      <w:pPr>
        <w:pStyle w:val="669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осуществления деятельности необходимо пройти аттестацию, включающую тестирование и практическое задание. Результаты аттеста</w:t>
      </w:r>
      <w:r>
        <w:rPr>
          <w:rFonts w:ascii="Times New Roman" w:hAnsi="Times New Roman" w:cs="Times New Roman"/>
          <w:sz w:val="24"/>
          <w:szCs w:val="24"/>
        </w:rPr>
        <w:t xml:space="preserve">ции действительны сроком 5 лет. Плановое подтверждение соответствия экскурсоводов (гидов), гидов-переводчиков требованиям и специальным требованиям осуществляется каждые 5 лет со дня включения сведений об экскурсоводе (гиде) или гиде-переводчике в реестр.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Соискателю, прошедшему аттестацию, выдаётся нагрудная идентификационная карточка экскурсовода (гида) или гида-переводчика по утвержденной форме, которая действует пять лет со дня принятия решения о выдаче.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Нагрудная идентификационная карточка выдается в форме электронного документа, подписываемого усиленной квалифицированной эле</w:t>
      </w:r>
      <w:r>
        <w:rPr>
          <w:rFonts w:ascii="Times New Roman" w:hAnsi="Times New Roman" w:cs="Times New Roman"/>
          <w:sz w:val="24"/>
          <w:szCs w:val="24"/>
        </w:rPr>
        <w:t xml:space="preserve">ктронной подписью уполномоченного должностного лица уполномоченного органа субъекта Российской Федерации. По решению уполномоченного органа субъекта Российской Федерации нагрудная идентификационная карточка также может выдаваться на материальном носителе.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1"/>
        <w:spacing w:before="0" w:beforeAutospacing="0" w:after="0" w:afterAutospacing="0"/>
        <w:ind w:firstLine="708"/>
        <w:jc w:val="both"/>
      </w:pPr>
      <w:r>
        <w:t xml:space="preserve">На нагрудной идентификационной карточке экскурсовода (гида) или гида-переводчика должны размещаться цветная фотография экскурсовода (гида) или гида-переводчика и следующие сведения (на русском и английском языках):</w:t>
      </w:r>
    </w:p>
    <w:p>
      <w:pPr>
        <w:pStyle w:val="671"/>
        <w:spacing w:before="0" w:beforeAutospacing="0" w:after="0" w:afterAutospacing="0"/>
        <w:ind w:firstLine="708"/>
        <w:jc w:val="both"/>
      </w:pPr>
      <w:r>
        <w:t xml:space="preserve">-фамилия, имя и отчество (при наличии) экскурсовода (гида) или гида-переводчика;</w:t>
      </w:r>
    </w:p>
    <w:p>
      <w:pPr>
        <w:pStyle w:val="671"/>
        <w:spacing w:before="0" w:beforeAutospacing="0" w:after="0" w:afterAutospacing="0"/>
        <w:ind w:firstLine="708"/>
        <w:jc w:val="both"/>
      </w:pPr>
      <w:r>
        <w:t xml:space="preserve">-серия, регистрационный номер и срок действия аттестата экскурсовода (гида) или гида-переводчика;</w:t>
      </w:r>
    </w:p>
    <w:p>
      <w:pPr>
        <w:pStyle w:val="671"/>
        <w:spacing w:before="0" w:beforeAutospacing="0" w:after="0" w:afterAutospacing="0"/>
        <w:ind w:firstLine="708"/>
        <w:jc w:val="both"/>
      </w:pPr>
      <w:r>
        <w:t xml:space="preserve">-наименование субъекта (субъектов) Российской Федерации, в котором (которых) экскурсовод (гид) или гид-переводчик оказывает услуги;</w:t>
      </w:r>
    </w:p>
    <w:p>
      <w:pPr>
        <w:pStyle w:val="671"/>
        <w:spacing w:before="0" w:beforeAutospacing="0" w:after="0" w:afterAutospacing="0"/>
        <w:ind w:firstLine="708"/>
        <w:jc w:val="both"/>
      </w:pPr>
      <w:r>
        <w:t xml:space="preserve">-контактный телефон органа государственной власти субъекта Российской Федерации в сфере туризма, выдавшего аттестат экскурсовода (гида) или гида-переводчика. 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ст. 19.5 Федеральный закон от 24 ноября 1996 г. № 132-ФЗ «Об основах туристской деятельности в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остановление Правительства Российской Федерации от 7 мая 2022 г. № 833 «Об утверждении Положения об аттестации экскурсоводов (гидов), </w:t>
      </w:r>
      <w:r>
        <w:rPr>
          <w:rFonts w:ascii="Times New Roman" w:hAnsi="Times New Roman" w:cs="Times New Roman"/>
          <w:sz w:val="24"/>
          <w:szCs w:val="24"/>
        </w:rPr>
        <w:br/>
        <w:t xml:space="preserve">гидов-переводчиков».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1"/>
        <w:spacing w:before="0" w:beforeAutospacing="0" w:after="0" w:afterAutospacing="0"/>
        <w:ind w:firstLine="708"/>
        <w:jc w:val="both"/>
        <w:rPr>
          <w:b/>
          <w:bCs/>
          <w:u w:val="none"/>
        </w:rPr>
      </w:pPr>
      <w:r>
        <w:rPr>
          <w:b/>
          <w:bCs/>
          <w:u w:val="none"/>
        </w:rPr>
        <w:t xml:space="preserve">2) </w:t>
      </w:r>
      <w:r>
        <w:rPr>
          <w:b/>
          <w:bCs/>
          <w:u w:val="none"/>
        </w:rPr>
        <w:t xml:space="preserve">С</w:t>
      </w:r>
      <w:r>
        <w:rPr>
          <w:b/>
          <w:bCs/>
          <w:u w:val="none"/>
        </w:rPr>
        <w:t xml:space="preserve">облюдение правил оказания услуг экскурсоводом (гидом) и гидом-переводчиком (за исключением требований, относящихся к предмету федерального государственного контроля (надзора) в области защиты прав потребителей).</w:t>
      </w:r>
      <w:r>
        <w:rPr>
          <w:b/>
          <w:bCs/>
          <w:u w:val="none"/>
        </w:rPr>
      </w:r>
    </w:p>
    <w:p>
      <w:pPr>
        <w:pStyle w:val="671"/>
        <w:spacing w:before="0" w:beforeAutospacing="0" w:after="0" w:afterAutospacing="0"/>
        <w:ind w:firstLine="708"/>
        <w:jc w:val="both"/>
      </w:pP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началом экскурсии туристы получают подробную информацию о маршруте, стоимости, продолжительности и условиях участия.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экскурсии экскурсовод обязан рассказывать исключительно проверенную информацию о достопримечательностях, истории и культуре страны, не допуская пропаганды насилия, экстремизма или негативных высказываний.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Экскурсии проводятся строго по согласованному маршруту, без отклонений и внезапных изменений программы.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экскурсия была организована неправильно или возникли проблемы, турист имеет право подать жалобу и вернуть деньги.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 учитывать погодные условия и состояние здоровья туристов. Экскурсия может быть перенесена или отменена в экстренных ситуациях.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завершения экскурсии турист получает подтверждение оплаты (чек или квитанцию).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Основание: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остановление Правительства РФ от 31 мая 2022 г. № 992 «Об утверждении Правил оказания услуг экскурсовода (гида) и гида-переводчика»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Перечень обязательных требований, предъявляемых к юридическим лицам, индивидуальным предпринимателям и физическим лицам, которые осуществляют деятельность по оказанию услуг инструкторов-проводников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none"/>
        </w:rPr>
      </w:pPr>
      <w:r>
        <w:rPr>
          <w:rFonts w:ascii="Times New Roman" w:hAnsi="Times New Roman" w:cs="Times New Roman"/>
          <w:b/>
          <w:bCs/>
          <w:sz w:val="24"/>
          <w:u w:val="none"/>
        </w:rPr>
        <w:t xml:space="preserve">1) Наличие действующей аттестации и нагрудной идентификационной карточки у инструктора-проводника при оказании им услуг.</w:t>
      </w:r>
      <w:r>
        <w:rPr>
          <w:rFonts w:ascii="Times New Roman" w:hAnsi="Times New Roman" w:cs="Times New Roman"/>
          <w:b/>
          <w:bCs/>
          <w:sz w:val="24"/>
          <w:u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Аттестация является обязательной для осуществления лицом деятельности в качестве инструктора-проводника, оказывающего услуги на туристских маршрутах, требующих специального сопровождения.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прохождения аттестации в качестве инструктора-проводника соискатель должен соответствовать следующим требованиям: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18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пройти профессиональное обучение, не</w:t>
      </w:r>
      <w:r>
        <w:rPr>
          <w:rFonts w:ascii="Times New Roman" w:hAnsi="Times New Roman" w:cs="Times New Roman"/>
          <w:sz w:val="24"/>
        </w:rPr>
        <w:t xml:space="preserve">обходимое для работы в качестве инструктора-проводника и сопровождения туристов (экскурсантов), а также для обеспечения их безопасности при прохождении туристского маршрута, требующего специального сопровождения, соответствующих вида и категории сложности;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18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иметь документ, подтверждающий подготовку по оказанию первой помощи;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18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иметь медицинское заключение об отсутствии медицинских противопоказаний к работе в качестве инструктора-проводника.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Инструктор-проводник, прошедший аттестацию, подлежит включению в единый федеральный реестр инструкторов-проводников, получает нагрудную идентификационную карточку инструктора-проводника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Плановое подтверждение соответствия инструктора-проводника требованиям осуществляется каждые пять лет со дня включения сведений об инструкторе-проводнике в единый федеральный реестр инструкторов-проводников.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</w:rPr>
        <w:t xml:space="preserve">Основание: 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- ст. 4.5, ст. 19.5 Федеральный закон от 24 ноября 1996 г. 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u w:val="single"/>
        </w:rPr>
      </w:pPr>
      <w:r>
        <w:rPr>
          <w:rFonts w:ascii="Times New Roman" w:hAnsi="Times New Roman" w:cs="Times New Roman"/>
          <w:b/>
          <w:bCs/>
          <w:i/>
          <w:sz w:val="24"/>
          <w:u w:val="single"/>
        </w:rPr>
      </w:r>
      <w:r>
        <w:rPr>
          <w:rFonts w:ascii="Times New Roman" w:hAnsi="Times New Roman" w:cs="Times New Roman"/>
          <w:b/>
          <w:bCs/>
          <w:i/>
          <w:sz w:val="24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2) Направление инструктором-проводником уведомления о сопровождении туристов (экскурсантов) на туристском маршруте, требующем специального сопровождения.</w:t>
      </w:r>
      <w:r>
        <w:rPr>
          <w:rFonts w:ascii="Times New Roman" w:hAnsi="Times New Roman" w:cs="Times New Roman"/>
          <w:b/>
          <w:bCs/>
          <w:sz w:val="24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 выхода на туристский маршрут инструктор-проводник, имеющий в соответствии с договором</w:t>
      </w:r>
      <w:r>
        <w:rPr>
          <w:rFonts w:ascii="Times New Roman" w:hAnsi="Times New Roman" w:cs="Times New Roman"/>
          <w:sz w:val="24"/>
        </w:rPr>
        <w:t xml:space="preserve"> статус руководителя группы, сопровождающий туристов на маршруте на территории  Иркутской области, обязан направить уведомление о сопровождении туристов (экскурсантов) на туристском маршруте в Главное управление МЧС России по Иркутской области, в агентство</w:t>
      </w:r>
      <w:r>
        <w:rPr>
          <w:rFonts w:ascii="Times New Roman" w:hAnsi="Times New Roman" w:cs="Times New Roman"/>
          <w:sz w:val="24"/>
        </w:rPr>
        <w:t xml:space="preserve"> по туризму Иркутской области, и в организацию, включенную в перечень организаций, уполномоченных на проведение аттестации инструкторов-проводников по видам туристских маршрутов, требующих специального сопровождения, и категориям их сложности, утвержденный</w:t>
      </w:r>
      <w:r>
        <w:rPr>
          <w:rFonts w:ascii="Times New Roman" w:hAnsi="Times New Roman" w:cs="Times New Roman"/>
          <w:sz w:val="24"/>
        </w:rPr>
        <w:t xml:space="preserve"> распоряжением Правительства Российской Федерации от 16 мая 2024 г. № 1156-р, проводившую аттестацию инструктора-проводника, в порядке и в сроки, утверждаемые в соответствии с частью двадцать второй статьи 4 5 Федерального закона о туристской деятельности.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 завершения прохождения туристского маршрута инструктор-проводник, имеющий в соответствии с договором статус руководителя группы, обязан направить </w:t>
      </w:r>
      <w:r>
        <w:rPr>
          <w:rFonts w:ascii="Times New Roman" w:hAnsi="Times New Roman" w:cs="Times New Roman"/>
          <w:sz w:val="24"/>
        </w:rPr>
        <w:t xml:space="preserve">соответствующее уведомление в Главное управление МЧС России по Иркутской области, в агентство</w:t>
      </w:r>
      <w:r>
        <w:rPr>
          <w:rFonts w:ascii="Times New Roman" w:hAnsi="Times New Roman" w:cs="Times New Roman"/>
          <w:sz w:val="24"/>
        </w:rPr>
        <w:t xml:space="preserve"> по туризму Иркутской области, и в организацию, включенную в перечень организаций, уполномоченных на проведение аттестации инструкторов-проводников по видам туристских маршрутов, требующих специального сопровождения, и категориям их сложности, утвержденный</w:t>
      </w:r>
      <w:r>
        <w:rPr>
          <w:rFonts w:ascii="Times New Roman" w:hAnsi="Times New Roman" w:cs="Times New Roman"/>
          <w:sz w:val="24"/>
        </w:rPr>
        <w:t xml:space="preserve"> распоряжением Правительства Российской Федерации от 16 мая 2024 г. № 1156-р, проводившую аттестацию инструктора-проводника, в порядке и в сроки, утверждаемые в соответствии с частью двадцать второй статьи 4 5 Федерального закона о туристской деятельности.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Основание: </w:t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ст. 19.5 Федеральный закон от 24 ноября 1996 г. 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4"/>
        </w:rPr>
        <w:t xml:space="preserve">;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п</w:t>
      </w:r>
      <w:r>
        <w:rPr>
          <w:rFonts w:ascii="Times New Roman" w:hAnsi="Times New Roman" w:cs="Times New Roman"/>
          <w:sz w:val="24"/>
        </w:rPr>
        <w:t xml:space="preserve">остановление Правительства Российской Федерации от 1 июня 2024 г. №</w:t>
      </w:r>
      <w:r>
        <w:rPr>
          <w:rFonts w:ascii="Times New Roman" w:hAnsi="Times New Roman" w:cs="Times New Roman"/>
          <w:sz w:val="24"/>
        </w:rPr>
        <w:t xml:space="preserve"> 761 «</w:t>
      </w:r>
      <w:r>
        <w:rPr>
          <w:rFonts w:ascii="Times New Roman" w:hAnsi="Times New Roman" w:cs="Times New Roman"/>
          <w:sz w:val="24"/>
        </w:rPr>
        <w:t xml:space="preserve">Об утверждении Правил оказан</w:t>
      </w:r>
      <w:r>
        <w:rPr>
          <w:rFonts w:ascii="Times New Roman" w:hAnsi="Times New Roman" w:cs="Times New Roman"/>
          <w:sz w:val="24"/>
        </w:rPr>
        <w:t xml:space="preserve">ия услуг инструктора-проводника».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u w:val="none"/>
        </w:rPr>
      </w:pPr>
      <w:r>
        <w:rPr>
          <w:rFonts w:ascii="Times New Roman" w:hAnsi="Times New Roman" w:cs="Times New Roman"/>
          <w:b/>
          <w:bCs/>
          <w:sz w:val="24"/>
          <w:u w:val="none"/>
        </w:rPr>
        <w:t xml:space="preserve">3) 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сопровождения.</w:t>
      </w:r>
      <w:r>
        <w:rPr>
          <w:rFonts w:ascii="Times New Roman" w:hAnsi="Times New Roman" w:cs="Times New Roman"/>
          <w:b/>
          <w:bCs/>
          <w:sz w:val="24"/>
          <w:u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Инструкторы-проводники при оказании услуг должны обеспечивать безопасность туристов (экскурсантов) при посещении (прохождении) туристских маршрутов, требующих специального сопровождения.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Основание: </w:t>
      </w:r>
      <w:r>
        <w:rPr>
          <w:rFonts w:ascii="Times New Roman" w:hAnsi="Times New Roman" w:cs="Times New Roman"/>
          <w:sz w:val="24"/>
        </w:rPr>
        <w:t xml:space="preserve">- ст. 4.5, ст. 19.5 Федеральный закон от 24 ноября 1996 г. 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  <w:r>
        <w:rPr>
          <w:rFonts w:ascii="Times New Roman" w:hAnsi="Times New Roman" w:cs="Times New Roman"/>
          <w:b/>
          <w:bCs/>
          <w:sz w:val="24"/>
          <w:highlight w:val="none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 xml:space="preserve">4) Соблюдение правил оказания услуг инструктора-проводника.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Обязанности инструктора-проводника:</w:t>
      </w:r>
      <w:r>
        <w:rPr>
          <w:rFonts w:ascii="Times New Roman" w:hAnsi="Times New Roman" w:cs="Times New Roman"/>
          <w:i/>
          <w:sz w:val="24"/>
        </w:rPr>
      </w:r>
    </w:p>
    <w:p>
      <w:pPr>
        <w:pStyle w:val="670"/>
        <w:numPr>
          <w:numId w:val="19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Перед выходом на маршрут: Инструктор обязан проверить физическое состояние туристов, их подготовленность и пригодность к прохождению маршрута.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19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Информирующая роль: Инструктор обеспечивает туристов всей необходимой информацией о маршруте, способах передвижения, потенциальных рисках и мерах предосторожности.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19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Безопасность: Проводит инструктаж по технике безопасности и оказывает поддержку в чрезвычайных ситуациях.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Документация и учет:</w:t>
      </w:r>
      <w:r>
        <w:rPr>
          <w:rFonts w:ascii="Times New Roman" w:hAnsi="Times New Roman" w:cs="Times New Roman"/>
          <w:i/>
          <w:sz w:val="24"/>
        </w:rPr>
      </w:r>
    </w:p>
    <w:p>
      <w:pPr>
        <w:pStyle w:val="670"/>
        <w:numPr>
          <w:numId w:val="2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Заключение договора: Оказание услуг осуществляется на основании письменного договора, заключённого в установленном порядке.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2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Нагрудная карточка: Инструктор-проводник обязан носить при себе и предъявлять туристам специальную идентификационную карточку с персональными данными и уникальным номером реестровой записи.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2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Медицинская поддержка: На маршруте должна быть аптечка первой помощи и инструкции по оказанию срочной медицинской помощи.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Контроль и мониторинг:</w:t>
      </w:r>
      <w:r>
        <w:rPr>
          <w:rFonts w:ascii="Times New Roman" w:hAnsi="Times New Roman" w:cs="Times New Roman"/>
          <w:i/>
          <w:sz w:val="24"/>
        </w:rPr>
      </w:r>
    </w:p>
    <w:p>
      <w:pPr>
        <w:pStyle w:val="670"/>
        <w:numPr>
          <w:numId w:val="21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Аттестация: Инструкторы-проводники подлежат обязательной аттестации и занесению в единый федеральный реестр специалистов.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21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Особые зоны: Прохождение маршрутов в зонах особого внимания (границы территорий охраны природы, границы государств) требует соблюдения особых процедур и уведомления государственных служб.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Процедура прекращения и возмещения ущерба:</w:t>
      </w:r>
      <w:r>
        <w:rPr>
          <w:rFonts w:ascii="Times New Roman" w:hAnsi="Times New Roman" w:cs="Times New Roman"/>
          <w:i/>
          <w:sz w:val="24"/>
        </w:rPr>
      </w:r>
    </w:p>
    <w:p>
      <w:pPr>
        <w:pStyle w:val="670"/>
        <w:numPr>
          <w:numId w:val="22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Условия отказа: Услуга может быть прекращена досрочно при обнаружении факторов, угрожающих жизни и здоровью туристов.</w:t>
      </w:r>
      <w:r>
        <w:rPr>
          <w:rFonts w:ascii="Times New Roman" w:hAnsi="Times New Roman" w:cs="Times New Roman"/>
          <w:sz w:val="24"/>
        </w:rPr>
      </w:r>
    </w:p>
    <w:p>
      <w:pPr>
        <w:pStyle w:val="670"/>
        <w:numPr>
          <w:numId w:val="22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Возмещение убытков: Возможен возврат денег за услугу в установленных законодательством случаях.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Решение конфликтных ситуаций:</w:t>
      </w:r>
      <w:r>
        <w:rPr>
          <w:rFonts w:ascii="Times New Roman" w:hAnsi="Times New Roman" w:cs="Times New Roman"/>
          <w:i/>
          <w:sz w:val="24"/>
        </w:rPr>
      </w:r>
    </w:p>
    <w:p>
      <w:pPr>
        <w:pStyle w:val="670"/>
        <w:numPr>
          <w:numId w:val="23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Жалобы и претензии: Туристы имеют право подавать жалобы и обращаться за возмещением ущерба в установленном порядке.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Основание:</w:t>
      </w:r>
      <w:r>
        <w:rPr>
          <w:rFonts w:ascii="Times New Roman" w:hAnsi="Times New Roman" w:cs="Times New Roman"/>
          <w:i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ст. 19.5 Федеральный закон от 24 ноября 1996 г. 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4"/>
        </w:rPr>
        <w:t xml:space="preserve">;</w:t>
      </w:r>
      <w:r>
        <w:rPr>
          <w:rFonts w:ascii="Times New Roman" w:hAnsi="Times New Roman" w:cs="Times New Roman"/>
          <w:sz w:val="24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п</w:t>
      </w:r>
      <w:r>
        <w:rPr>
          <w:rFonts w:ascii="Times New Roman" w:hAnsi="Times New Roman" w:cs="Times New Roman"/>
          <w:sz w:val="24"/>
        </w:rPr>
        <w:t xml:space="preserve">остановление Правительства Российской Федерации от 1 июня 2024 г. №</w:t>
      </w:r>
      <w:r>
        <w:rPr>
          <w:rFonts w:ascii="Times New Roman" w:hAnsi="Times New Roman" w:cs="Times New Roman"/>
          <w:sz w:val="24"/>
        </w:rPr>
        <w:t xml:space="preserve"> 761 «</w:t>
      </w:r>
      <w:r>
        <w:rPr>
          <w:rFonts w:ascii="Times New Roman" w:hAnsi="Times New Roman" w:cs="Times New Roman"/>
          <w:sz w:val="24"/>
        </w:rPr>
        <w:t xml:space="preserve">Об утверждении Правил оказан</w:t>
      </w:r>
      <w:r>
        <w:rPr>
          <w:rFonts w:ascii="Times New Roman" w:hAnsi="Times New Roman" w:cs="Times New Roman"/>
          <w:sz w:val="24"/>
        </w:rPr>
        <w:t xml:space="preserve">ия услуг инструктора-проводника».</w:t>
      </w:r>
      <w:r>
        <w:rPr>
          <w:rFonts w:ascii="Times New Roman" w:hAnsi="Times New Roman" w:cs="Times New Roman"/>
          <w:sz w:val="24"/>
        </w:rPr>
      </w:r>
    </w:p>
    <w:p>
      <w:pPr>
        <w:pStyle w:val="669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</w:r>
      <w:r>
        <w:rPr>
          <w:rFonts w:ascii="Times New Roman" w:hAnsi="Times New Roman" w:cs="Times New Roman"/>
          <w:i/>
          <w:sz w:val="28"/>
          <w:szCs w:val="24"/>
        </w:rPr>
      </w:r>
    </w:p>
    <w:sectPr>
      <w:footnotePr/>
      <w:endnotePr/>
      <w:type w:val="nextPage"/>
      <w:pgSz w:w="11906" w:h="16838" w:orient="portrait"/>
      <w:pgMar w:top="709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20"/>
  </w:num>
  <w:num w:numId="3">
    <w:abstractNumId w:val="7"/>
  </w:num>
  <w:num w:numId="4">
    <w:abstractNumId w:val="9"/>
  </w:num>
  <w:num w:numId="5">
    <w:abstractNumId w:val="6"/>
  </w:num>
  <w:num w:numId="6">
    <w:abstractNumId w:val="16"/>
  </w:num>
  <w:num w:numId="7">
    <w:abstractNumId w:val="17"/>
  </w:num>
  <w:num w:numId="8">
    <w:abstractNumId w:val="3"/>
  </w:num>
  <w:num w:numId="9">
    <w:abstractNumId w:val="15"/>
  </w:num>
  <w:num w:numId="10">
    <w:abstractNumId w:val="1"/>
  </w:num>
  <w:num w:numId="11">
    <w:abstractNumId w:val="13"/>
  </w:num>
  <w:num w:numId="12">
    <w:abstractNumId w:val="10"/>
  </w:num>
  <w:num w:numId="13">
    <w:abstractNumId w:val="18"/>
  </w:num>
  <w:num w:numId="14">
    <w:abstractNumId w:val="0"/>
  </w:num>
  <w:num w:numId="15">
    <w:abstractNumId w:val="11"/>
  </w:num>
  <w:num w:numId="16">
    <w:abstractNumId w:val="5"/>
  </w:num>
  <w:num w:numId="17">
    <w:abstractNumId w:val="22"/>
  </w:num>
  <w:num w:numId="18">
    <w:abstractNumId w:val="19"/>
  </w:num>
  <w:num w:numId="19">
    <w:abstractNumId w:val="21"/>
  </w:num>
  <w:num w:numId="20">
    <w:abstractNumId w:val="12"/>
  </w:num>
  <w:num w:numId="21">
    <w:abstractNumId w:val="8"/>
  </w:num>
  <w:num w:numId="22">
    <w:abstractNumId w:val="14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4"/>
    <w:next w:val="664"/>
    <w:link w:val="15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6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4"/>
    <w:next w:val="664"/>
    <w:link w:val="17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6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4"/>
    <w:next w:val="664"/>
    <w:link w:val="19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6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4"/>
    <w:next w:val="664"/>
    <w:link w:val="21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6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4"/>
    <w:next w:val="664"/>
    <w:link w:val="23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6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4"/>
    <w:next w:val="664"/>
    <w:link w:val="25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4"/>
    <w:next w:val="664"/>
    <w:link w:val="27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4"/>
    <w:next w:val="664"/>
    <w:link w:val="29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4"/>
    <w:next w:val="664"/>
    <w:link w:val="31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4"/>
    <w:next w:val="664"/>
    <w:link w:val="3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6">
    <w:name w:val="Title Char"/>
    <w:basedOn w:val="665"/>
    <w:link w:val="35"/>
    <w:uiPriority w:val="10"/>
    <w:rPr>
      <w:sz w:val="48"/>
      <w:szCs w:val="48"/>
    </w:rPr>
  </w:style>
  <w:style w:type="paragraph" w:styleId="37">
    <w:name w:val="Subtitle"/>
    <w:basedOn w:val="664"/>
    <w:next w:val="66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65"/>
    <w:link w:val="37"/>
    <w:uiPriority w:val="11"/>
    <w:rPr>
      <w:sz w:val="24"/>
      <w:szCs w:val="24"/>
    </w:rPr>
  </w:style>
  <w:style w:type="paragraph" w:styleId="39">
    <w:name w:val="Quote"/>
    <w:basedOn w:val="664"/>
    <w:next w:val="66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4"/>
    <w:next w:val="664"/>
    <w:link w:val="4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64"/>
    <w:link w:val="4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4">
    <w:name w:val="Header Char"/>
    <w:basedOn w:val="665"/>
    <w:link w:val="43"/>
    <w:uiPriority w:val="99"/>
  </w:style>
  <w:style w:type="paragraph" w:styleId="45">
    <w:name w:val="Footer"/>
    <w:basedOn w:val="664"/>
    <w:link w:val="4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6">
    <w:name w:val="Footer Char"/>
    <w:basedOn w:val="665"/>
    <w:link w:val="45"/>
    <w:uiPriority w:val="99"/>
  </w:style>
  <w:style w:type="paragraph" w:styleId="47">
    <w:name w:val="Caption"/>
    <w:basedOn w:val="664"/>
    <w:next w:val="66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5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6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7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8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9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90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5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6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5"/>
    <w:uiPriority w:val="99"/>
    <w:unhideWhenUsed/>
    <w:rPr>
      <w:vertAlign w:val="superscript"/>
    </w:rPr>
  </w:style>
  <w:style w:type="paragraph" w:styleId="179">
    <w:name w:val="endnote text"/>
    <w:basedOn w:val="66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5"/>
    <w:uiPriority w:val="99"/>
    <w:semiHidden/>
    <w:unhideWhenUsed/>
    <w:rPr>
      <w:vertAlign w:val="superscript"/>
    </w:rPr>
  </w:style>
  <w:style w:type="paragraph" w:styleId="182">
    <w:name w:val="toc 1"/>
    <w:basedOn w:val="664"/>
    <w:next w:val="664"/>
    <w:uiPriority w:val="39"/>
    <w:unhideWhenUsed/>
    <w:pPr>
      <w:spacing w:after="57"/>
      <w:ind w:left="0" w:right="0" w:firstLine="0"/>
    </w:pPr>
  </w:style>
  <w:style w:type="paragraph" w:styleId="183">
    <w:name w:val="toc 2"/>
    <w:basedOn w:val="664"/>
    <w:next w:val="664"/>
    <w:uiPriority w:val="39"/>
    <w:unhideWhenUsed/>
    <w:pPr>
      <w:spacing w:after="57"/>
      <w:ind w:left="283" w:right="0" w:firstLine="0"/>
    </w:pPr>
  </w:style>
  <w:style w:type="paragraph" w:styleId="184">
    <w:name w:val="toc 3"/>
    <w:basedOn w:val="664"/>
    <w:next w:val="664"/>
    <w:uiPriority w:val="39"/>
    <w:unhideWhenUsed/>
    <w:pPr>
      <w:spacing w:after="57"/>
      <w:ind w:left="567" w:right="0" w:firstLine="0"/>
    </w:pPr>
  </w:style>
  <w:style w:type="paragraph" w:styleId="185">
    <w:name w:val="toc 4"/>
    <w:basedOn w:val="664"/>
    <w:next w:val="664"/>
    <w:uiPriority w:val="39"/>
    <w:unhideWhenUsed/>
    <w:pPr>
      <w:spacing w:after="57"/>
      <w:ind w:left="850" w:right="0" w:firstLine="0"/>
    </w:pPr>
  </w:style>
  <w:style w:type="paragraph" w:styleId="186">
    <w:name w:val="toc 5"/>
    <w:basedOn w:val="664"/>
    <w:next w:val="664"/>
    <w:uiPriority w:val="39"/>
    <w:unhideWhenUsed/>
    <w:pPr>
      <w:spacing w:after="57"/>
      <w:ind w:left="1134" w:right="0" w:firstLine="0"/>
    </w:pPr>
  </w:style>
  <w:style w:type="paragraph" w:styleId="187">
    <w:name w:val="toc 6"/>
    <w:basedOn w:val="664"/>
    <w:next w:val="664"/>
    <w:uiPriority w:val="39"/>
    <w:unhideWhenUsed/>
    <w:pPr>
      <w:spacing w:after="57"/>
      <w:ind w:left="1417" w:right="0" w:firstLine="0"/>
    </w:pPr>
  </w:style>
  <w:style w:type="paragraph" w:styleId="188">
    <w:name w:val="toc 7"/>
    <w:basedOn w:val="664"/>
    <w:next w:val="664"/>
    <w:uiPriority w:val="39"/>
    <w:unhideWhenUsed/>
    <w:pPr>
      <w:spacing w:after="57"/>
      <w:ind w:left="1701" w:right="0" w:firstLine="0"/>
    </w:pPr>
  </w:style>
  <w:style w:type="paragraph" w:styleId="189">
    <w:name w:val="toc 8"/>
    <w:basedOn w:val="664"/>
    <w:next w:val="664"/>
    <w:uiPriority w:val="39"/>
    <w:unhideWhenUsed/>
    <w:pPr>
      <w:spacing w:after="57"/>
      <w:ind w:left="1984" w:right="0" w:firstLine="0"/>
    </w:pPr>
  </w:style>
  <w:style w:type="paragraph" w:styleId="190">
    <w:name w:val="toc 9"/>
    <w:basedOn w:val="664"/>
    <w:next w:val="664"/>
    <w:uiPriority w:val="39"/>
    <w:unhideWhenUsed/>
    <w:pPr>
      <w:spacing w:after="57"/>
      <w:ind w:left="2268" w:right="0" w:firstLine="0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qFormat/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>
    <w:name w:val="Hyperlink"/>
    <w:basedOn w:val="665"/>
    <w:uiPriority w:val="99"/>
    <w:semiHidden/>
    <w:unhideWhenUsed/>
    <w:rPr>
      <w:color w:val="0000ff"/>
      <w:u w:val="single"/>
    </w:rPr>
  </w:style>
  <w:style w:type="paragraph" w:styleId="669" w:customStyle="1">
    <w:name w:val="ConsPlusNormal"/>
    <w:pPr>
      <w:widowControl w:val="off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670">
    <w:name w:val="List Paragraph"/>
    <w:basedOn w:val="664"/>
    <w:uiPriority w:val="34"/>
    <w:qFormat/>
    <w:pPr>
      <w:ind w:left="720"/>
      <w:contextualSpacing/>
    </w:pPr>
  </w:style>
  <w:style w:type="paragraph" w:styleId="671">
    <w:name w:val="Normal (Web)"/>
    <w:basedOn w:val="66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2">
    <w:name w:val="Strong"/>
    <w:basedOn w:val="665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ogin.consultant.ru/link/?req=doc&amp;base=LAW&amp;n=495340&amp;date=21.05.2025&amp;dst=100031&amp;field=134" TargetMode="External"/><Relationship Id="rId10" Type="http://schemas.openxmlformats.org/officeDocument/2006/relationships/hyperlink" Target="https://internet.garant.ru/#/document/136248/entry/2" TargetMode="External"/><Relationship Id="rId11" Type="http://schemas.openxmlformats.org/officeDocument/2006/relationships/hyperlink" Target="https://internet.garant.ru/#/document/412133560/entry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Вылегжанин Артём Андреевич</dc:creator>
  <cp:keywords/>
  <dc:description/>
  <cp:lastModifiedBy>danilova_aa</cp:lastModifiedBy>
  <cp:revision>3</cp:revision>
  <dcterms:created xsi:type="dcterms:W3CDTF">2025-08-19T09:46:00Z</dcterms:created>
  <dcterms:modified xsi:type="dcterms:W3CDTF">2026-09-22T11:49:17Z</dcterms:modified>
</cp:coreProperties>
</file>