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spacing w:before="240" w:after="120"/>
        <w:outlineLvl w:val="0"/>
        <w:rPr/>
      </w:pPr>
      <w:bookmarkStart w:id="0" w:name="anchor0"/>
      <w:bookmarkEnd w:id="0"/>
      <w:r>
        <w:rPr/>
        <w:t>Приказ Минфина России от 25 ноября 2022 г. N 180н "Об установлении цен, не ниже которых осуществляются закупка (за исключением импорта), поставки (за исключением экспорта) и розничная продажа игристого вина и о признании утратившим силу приказа Министерства финансов Российской Федерации от 7 октября 2020 г. N 232н"</w:t>
      </w:r>
    </w:p>
    <w:p>
      <w:pPr>
        <w:pStyle w:val="Style11"/>
        <w:rPr/>
      </w:pPr>
      <w:r>
        <w:rPr/>
        <w:t>В соответствии с пунктом 5 статьи 11 Федерального закона от 22 ноября 1995 г. N 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1995, N 48, ст. 4553; 2020, N 52, ст. 8582), пунктом 1, подпунктом 5.2.29(28) пункта 5 Положения о Министерстве финансов Российской Федерации, утвержденного постановлением Правительства Российской Федерации от 30 июня 2004 г. N 329 (Собрание законодательства Российской Федерации, 2004, N 31, ст. 3258; 2022, N 24, ст. 4069), приказываю:</w:t>
      </w:r>
    </w:p>
    <w:p>
      <w:pPr>
        <w:pStyle w:val="Style11"/>
        <w:rPr/>
      </w:pPr>
      <w:bookmarkStart w:id="1" w:name="anchor1"/>
      <w:bookmarkEnd w:id="1"/>
      <w:r>
        <w:rPr/>
        <w:t>1. Установить:</w:t>
      </w:r>
    </w:p>
    <w:p>
      <w:pPr>
        <w:pStyle w:val="Style11"/>
        <w:rPr/>
      </w:pPr>
      <w:bookmarkStart w:id="2" w:name="anchor11"/>
      <w:bookmarkEnd w:id="2"/>
      <w:r>
        <w:rPr/>
        <w:t>а) цену, не ниже которой осуществляются закупка (за исключением импорта) игристого вина у организации, поставляющей такую продукцию на основании лицензии на производство, хранение и поставки произведенной алкогольной продукции, а также у крестьянского (фермерского) хозяйства, индивидуального предпринимателя, признаваемых сельскохозяйственными товаропроизводителями (далее - сельскохозяйственные товаропроизводители), поставляющих такую продукцию на основании лицензии на производство, хранение и поставки произведенной винодельческой продукции или лицензии на производство, хранение, поставки и розничную продажу произведенной винодельческой продукции, и цену, не ниже которой осуществляются поставки (за исключением экспорта) игристого вина организацией на основании лицензии на производство, хранение и поставки произведенной алкогольной продукции или сельскохозяйственными товаропроизводителями на основании лицензии на производство, хранение и поставки произведенной винодельческой продукции или лицензии на производство, хранение, поставки и розничную продажу произведенной винодельческой продукции, в размере 166 рублей за 0,75 литра готовой продукции;</w:t>
      </w:r>
    </w:p>
    <w:p>
      <w:pPr>
        <w:pStyle w:val="Style11"/>
        <w:rPr/>
      </w:pPr>
      <w:bookmarkStart w:id="3" w:name="anchor12"/>
      <w:bookmarkEnd w:id="3"/>
      <w:r>
        <w:rPr/>
        <w:t>б) цену, не ниже которой осуществляются закупка (за исключением импорта) игристого вина у организации, поставляющей такую продукцию на основании лицензии на закупку, хранение и поставки алкогольной продукции, и поставки (за исключением экспорта) игристого вина организацией, осуществившей закупку такой продукции у иной организации или сельскохозяйственного товаропроизводителя, в размере 199 рублей за 0,75 литра готовой продукции;</w:t>
      </w:r>
    </w:p>
    <w:p>
      <w:pPr>
        <w:pStyle w:val="Style11"/>
        <w:rPr/>
      </w:pPr>
      <w:bookmarkStart w:id="4" w:name="anchor13"/>
      <w:bookmarkEnd w:id="4"/>
      <w:r>
        <w:rPr/>
        <w:t>в) цену, не ниже которой осуществляется розничная продажа игристого вина, в размере 239 рублей за 0,75 литра готовой продукции.</w:t>
      </w:r>
    </w:p>
    <w:p>
      <w:pPr>
        <w:pStyle w:val="Style11"/>
        <w:rPr/>
      </w:pPr>
      <w:bookmarkStart w:id="5" w:name="anchor2"/>
      <w:bookmarkEnd w:id="5"/>
      <w:r>
        <w:rPr/>
        <w:t>2. Цены, не ниже которых осуществляются закупка (за исключением импорта), поставки (за исключением экспорта) и розничная продажа игристого вина, розлитого в потребительскую тару иной емкости, рассчитываются пропорционально ценам, указанным в подпунктах "а" - "в" пункта 1 настоящего приказа.</w:t>
      </w:r>
    </w:p>
    <w:p>
      <w:pPr>
        <w:pStyle w:val="Style11"/>
        <w:rPr/>
      </w:pPr>
      <w:bookmarkStart w:id="6" w:name="anchor3"/>
      <w:bookmarkEnd w:id="6"/>
      <w:r>
        <w:rPr/>
        <w:t>3. Признать утратившим силу приказ Министерства финансов Российской Федерации от 7 октября 2020 г. N 232н "Об установлении цен, не ниже которых осуществляются закупка (за исключением импорта), поставки (за исключением экспорта) и розничная продажа игристого вина (шампанского)" (зарегистрирован Министерством юстиции Российской Федерации 12 ноября 2020 г., регистрационный N 60856).</w:t>
      </w:r>
    </w:p>
    <w:p>
      <w:pPr>
        <w:pStyle w:val="Style11"/>
        <w:rPr/>
      </w:pPr>
      <w:bookmarkStart w:id="7" w:name="anchor4"/>
      <w:bookmarkEnd w:id="7"/>
      <w:r>
        <w:rPr/>
        <w:t>4. Настоящий приказ вступает в силу с 1 января 2023 года, но не ранее 10 дней после дня его официального опубликования, и действует по 31 декабря 2028 года включительно.</w:t>
      </w:r>
    </w:p>
    <w:p>
      <w:pPr>
        <w:pStyle w:val="Style11"/>
        <w:rPr/>
      </w:pPr>
      <w:r>
        <w:rPr/>
      </w:r>
    </w:p>
    <w:tbl>
      <w:tblPr>
        <w:tblW w:w="1020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803"/>
        <w:gridCol w:w="3402"/>
      </w:tblGrid>
      <w:tr>
        <w:trPr/>
        <w:tc>
          <w:tcPr>
            <w:tcW w:w="6803" w:type="dxa"/>
            <w:tcBorders/>
          </w:tcPr>
          <w:p>
            <w:pPr>
              <w:pStyle w:val="Style15"/>
              <w:ind w:hanging="0"/>
              <w:rPr/>
            </w:pPr>
            <w:r>
              <w:rPr/>
              <w:t>Министр</w:t>
            </w:r>
          </w:p>
        </w:tc>
        <w:tc>
          <w:tcPr>
            <w:tcW w:w="3402" w:type="dxa"/>
            <w:tcBorders/>
          </w:tcPr>
          <w:p>
            <w:pPr>
              <w:pStyle w:val="Style11"/>
              <w:ind w:hanging="0"/>
              <w:jc w:val="end"/>
              <w:rPr/>
            </w:pPr>
            <w:r>
              <w:rPr/>
              <w:t>А.Г. Силуанов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5"/>
        <w:ind w:hanging="0"/>
        <w:rPr/>
      </w:pPr>
      <w:r>
        <w:rPr/>
        <w:t>Зарегистрировано в Минюсте РФ 26 декабря 2022 г. Регистрационный N 71816</w:t>
      </w:r>
    </w:p>
    <w:p>
      <w:pPr>
        <w:pStyle w:val="Style11"/>
        <w:rPr/>
      </w:pPr>
      <w:r>
        <w:rPr/>
      </w:r>
    </w:p>
    <w:sectPr>
      <w:footerReference w:type="default" r:id="rId2"/>
      <w:type w:val="nextPage"/>
      <w:pgSz w:w="11906" w:h="16838"/>
      <w:pgMar w:left="794" w:right="794" w:gutter="0" w:header="0" w:top="794" w:footer="794" w:bottom="107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auto"/>
    <w:pitch w:val="default"/>
  </w:font>
  <w:font w:name="Courier New">
    <w:charset w:val="cc" w:characterSet="windows-1251"/>
    <w:family w:val="auto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3439"/>
      <w:gridCol w:w="3439"/>
      <w:gridCol w:w="3440"/>
    </w:tblGrid>
    <w:tr>
      <w:trPr/>
      <w:tc>
        <w:tcPr>
          <w:tcW w:w="3439" w:type="dxa"/>
          <w:tcBorders/>
        </w:tcPr>
        <w:p>
          <w:pPr>
            <w:pStyle w:val="Normal"/>
            <w:ind w:hanging="0"/>
            <w:jc w:val="start"/>
            <w:rPr>
              <w:rFonts w:ascii="Times New Roman" w:hAnsi="Times New Roman"/>
              <w:sz w:val="20"/>
            </w:rPr>
          </w:pPr>
          <w:r>
            <w:rPr>
              <w:sz w:val="20"/>
            </w:rPr>
          </w:r>
        </w:p>
      </w:tc>
      <w:tc>
        <w:tcPr>
          <w:tcW w:w="3439" w:type="dxa"/>
          <w:tcBorders/>
        </w:tcPr>
        <w:p>
          <w:pPr>
            <w:pStyle w:val="Normal"/>
            <w:ind w:hanging="0"/>
            <w:jc w:val="center"/>
            <w:rPr>
              <w:rFonts w:ascii="Times New Roman" w:hAnsi="Times New Roman"/>
              <w:sz w:val="20"/>
            </w:rPr>
          </w:pPr>
          <w:r>
            <w:rPr>
              <w:sz w:val="20"/>
            </w:rPr>
          </w:r>
        </w:p>
      </w:tc>
      <w:tc>
        <w:tcPr>
          <w:tcW w:w="3440" w:type="dxa"/>
          <w:tcBorders/>
        </w:tcPr>
        <w:p>
          <w:pPr>
            <w:pStyle w:val="Normal"/>
            <w:ind w:hanging="0"/>
            <w:jc w:val="end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\* ARABIC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</w:tr>
  </w:tbl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ind w:firstLine="720" w:start="0" w:end="0"/>
      <w:jc w:val="both"/>
    </w:pPr>
    <w:rPr>
      <w:rFonts w:ascii="Times New Roman" w:hAnsi="Times New Roman"/>
      <w:sz w:val="24"/>
      <w:lang w:val="ru-RU" w:eastAsia="zh-CN" w:bidi="hi-IN"/>
    </w:rPr>
  </w:style>
  <w:style w:type="paragraph" w:styleId="Heading1">
    <w:name w:val="Heading 1"/>
    <w:basedOn w:val="Style10"/>
    <w:qFormat/>
    <w:pPr/>
    <w:rPr/>
  </w:style>
  <w:style w:type="paragraph" w:styleId="Heading2">
    <w:name w:val="Heading 2"/>
    <w:basedOn w:val="Style10"/>
    <w:qFormat/>
    <w:pPr/>
    <w:rPr/>
  </w:style>
  <w:style w:type="paragraph" w:styleId="Heading3">
    <w:name w:val="Heading 3"/>
    <w:basedOn w:val="Style10"/>
    <w:qFormat/>
    <w:pPr/>
    <w:rPr/>
  </w:style>
  <w:style w:type="paragraph" w:styleId="Heading4">
    <w:name w:val="Heading 4"/>
    <w:basedOn w:val="Style10"/>
    <w:qFormat/>
    <w:pPr/>
    <w:rPr/>
  </w:style>
  <w:style w:type="character" w:styleId="Hyperlink">
    <w:name w:val="Hyperlink"/>
    <w:rPr>
      <w:color w:val="000080"/>
      <w:u w:val="single"/>
    </w:rPr>
  </w:style>
  <w:style w:type="paragraph" w:styleId="Normal1">
    <w:name w:val="Normal1"/>
    <w:qFormat/>
    <w:pPr>
      <w:widowControl w:val="false"/>
      <w:bidi w:val="0"/>
    </w:pPr>
    <w:rPr>
      <w:rFonts w:ascii="Times New Roman" w:hAnsi="Times New Roman"/>
      <w:sz w:val="24"/>
      <w:lang w:val="ru-RU" w:eastAsia="zh-CN" w:bidi="hi-IN"/>
    </w:rPr>
  </w:style>
  <w:style w:type="paragraph" w:styleId="Preformatted">
    <w:name w:val="Preformatted"/>
    <w:qFormat/>
    <w:pPr>
      <w:widowControl/>
      <w:suppressAutoHyphens w:val="false"/>
      <w:bidi w:val="0"/>
      <w:spacing w:before="0" w:after="0"/>
      <w:ind w:hanging="0" w:start="0" w:end="0"/>
      <w:jc w:val="both"/>
    </w:pPr>
    <w:rPr>
      <w:rFonts w:ascii="Courier New" w:hAnsi="Courier New" w:eastAsia="Symbol" w:cs="Wingdings"/>
      <w:sz w:val="24"/>
      <w:szCs w:val="24"/>
      <w:lang w:val="ru-RU" w:eastAsia="zh-CN" w:bidi="hi-IN"/>
    </w:rPr>
  </w:style>
  <w:style w:type="paragraph" w:styleId="Style10">
    <w:name w:val="Заголовок"/>
    <w:basedOn w:val="Normal"/>
    <w:qFormat/>
    <w:pPr>
      <w:keepNext w:val="true"/>
      <w:spacing w:before="240" w:after="120"/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Style11">
    <w:name w:val="Нормальный"/>
    <w:basedOn w:val="Normal"/>
    <w:qFormat/>
    <w:pPr/>
    <w:rPr/>
  </w:style>
  <w:style w:type="paragraph" w:styleId="OEM">
    <w:name w:val="Нормальный (OEM)"/>
    <w:basedOn w:val="Preformatted"/>
    <w:qFormat/>
    <w:pPr/>
    <w:rPr/>
  </w:style>
  <w:style w:type="paragraph" w:styleId="Style12">
    <w:name w:val="Утратил силу"/>
    <w:basedOn w:val="Normal"/>
    <w:qFormat/>
    <w:pPr/>
    <w:rPr>
      <w:strike/>
      <w:color w:val="666600"/>
    </w:rPr>
  </w:style>
  <w:style w:type="paragraph" w:styleId="Textreference">
    <w:name w:val="Text (reference)"/>
    <w:basedOn w:val="Normal"/>
    <w:qFormat/>
    <w:pPr>
      <w:spacing w:before="75" w:after="0"/>
      <w:ind w:hanging="0" w:start="0" w:end="0"/>
      <w:jc w:val="both"/>
    </w:pPr>
    <w:rPr>
      <w:i/>
      <w:color w:val="353842"/>
      <w:sz w:val="24"/>
    </w:rPr>
  </w:style>
  <w:style w:type="paragraph" w:styleId="Style13">
    <w:name w:val="Комментарий"/>
    <w:basedOn w:val="Textreference"/>
    <w:qFormat/>
    <w:pPr>
      <w:shd w:fill="F0F0F0" w:val="clear"/>
      <w:jc w:val="both"/>
    </w:pPr>
    <w:rPr>
      <w:shd w:fill="F0F0F0" w:val="clear"/>
    </w:rPr>
  </w:style>
  <w:style w:type="paragraph" w:styleId="Style14">
    <w:name w:val="Заголовок статьи"/>
    <w:basedOn w:val="Normal"/>
    <w:qFormat/>
    <w:pPr>
      <w:spacing w:before="0" w:after="0"/>
      <w:ind w:hanging="892" w:start="1612" w:end="0"/>
      <w:jc w:val="both"/>
    </w:pPr>
    <w:rPr/>
  </w:style>
  <w:style w:type="paragraph" w:styleId="Style15">
    <w:name w:val="Прижатый влево"/>
    <w:basedOn w:val="Normal"/>
    <w:qFormat/>
    <w:pPr>
      <w:suppressAutoHyphens w:val="true"/>
      <w:ind w:hanging="0"/>
      <w:jc w:val="start"/>
    </w:pPr>
    <w:rPr/>
  </w:style>
  <w:style w:type="paragraph" w:styleId="Style16">
    <w:name w:val="Информация о версии"/>
    <w:basedOn w:val="Textreference"/>
    <w:qFormat/>
    <w:pPr>
      <w:shd w:fill="F0F0F0" w:val="clear"/>
      <w:jc w:val="both"/>
    </w:pPr>
    <w:rPr>
      <w:shd w:fill="F0F0F0" w:val="clear"/>
    </w:rPr>
  </w:style>
  <w:style w:type="paragraph" w:styleId="Style17">
    <w:name w:val="Не вступил в силу"/>
    <w:basedOn w:val="Normal"/>
    <w:qFormat/>
    <w:pPr>
      <w:ind w:hanging="139" w:start="139" w:end="0"/>
    </w:pPr>
    <w:rPr/>
  </w:style>
  <w:style w:type="paragraph" w:styleId="Style18">
    <w:name w:val="Информация об изменениях"/>
    <w:basedOn w:val="Textreference"/>
    <w:qFormat/>
    <w:pPr>
      <w:shd w:fill="EAEFED" w:val="clear"/>
    </w:pPr>
    <w:rPr>
      <w:sz w:val="20"/>
      <w:shd w:fill="EAEFED" w:val="clear"/>
    </w:rPr>
  </w:style>
  <w:style w:type="paragraph" w:styleId="Style19">
    <w:name w:val="Заголовок ЭР (левое окно)"/>
    <w:basedOn w:val="Style10"/>
    <w:qFormat/>
    <w:pPr/>
    <w:rPr/>
  </w:style>
  <w:style w:type="paragraph" w:styleId="FootnoteText">
    <w:name w:val="Footnote Text"/>
    <w:basedOn w:val="Normal"/>
    <w:pPr/>
    <w:rPr>
      <w:sz w:val="20"/>
    </w:rPr>
  </w:style>
  <w:style w:type="paragraph" w:styleId="Style20">
    <w:name w:val="Взамен"/>
    <w:basedOn w:val="Textreference"/>
    <w:qFormat/>
    <w:pPr>
      <w:shd w:fill="FFF5AD" w:val="clear"/>
      <w:ind w:hanging="0" w:start="432"/>
    </w:pPr>
    <w:rPr>
      <w:shd w:fill="FFF5AD" w:val="clear"/>
    </w:rPr>
  </w:style>
  <w:style w:type="paragraph" w:styleId="Style21">
    <w:name w:val="Сравнение"/>
    <w:basedOn w:val="Textreference"/>
    <w:qFormat/>
    <w:pPr>
      <w:shd w:fill="F0F0F0" w:val="clear"/>
      <w:ind w:hanging="0" w:start="432"/>
    </w:pPr>
    <w:rPr>
      <w:shd w:fill="F0F0F0" w:val="clear"/>
    </w:rPr>
  </w:style>
  <w:style w:type="paragraph" w:styleId="Style22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2"/>
    <w:pPr>
      <w:suppressLineNumbers/>
    </w:pPr>
    <w:rPr/>
  </w:style>
  <w:style w:type="paragraph" w:styleId="Footer">
    <w:name w:val="Footer"/>
    <w:basedOn w:val="Style22"/>
    <w:pPr>
      <w:suppressLineNumbers/>
    </w:pPr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LibreOffice/7.6.2.1$Windows_X86_64 LibreOffice_project/56f7684011345957bbf33a7ee678afaf4d2ba333</Application>
  <AppVersion>15.0000</AppVersion>
  <Pages>1</Pages>
  <Words>490</Words>
  <Characters>3291</Characters>
  <CharactersWithSpaces>3768</CharactersWithSpaces>
  <Paragraphs>17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dc:language>ru-RU</dc:language>
  <cp:lastModifiedBy/>
  <dcterms:modified xsi:type="dcterms:W3CDTF">2026-04-27T14:04:48Z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