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before="240" w:after="120"/>
        <w:outlineLvl w:val="0"/>
        <w:rPr/>
      </w:pPr>
      <w:bookmarkStart w:id="0" w:name="anchor0"/>
      <w:bookmarkEnd w:id="0"/>
      <w:r>
        <w:rPr/>
        <w:t>Приказ Минфина России от 18 декабря 2025 г. N 181н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</w:t>
      </w:r>
    </w:p>
    <w:p>
      <w:pPr>
        <w:pStyle w:val="Style11"/>
        <w:rPr/>
      </w:pPr>
      <w:r>
        <w:rPr/>
        <w:t>В соответствии с подпунктом 28 статьи 2, пунктом 5 статьи 11 Федерального закона от 22 ноября 1995 г. N 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абзацем первым пункта 1, подпунктом 5.2.29</w:t>
      </w:r>
      <w:r>
        <w:rPr>
          <w:vertAlign w:val="superscript"/>
        </w:rPr>
        <w:t xml:space="preserve"> 28 </w:t>
      </w:r>
      <w:r>
        <w:rPr/>
        <w:t>пункта 5 Положения о Министерстве финансов Российской Федерации, утвержденного постановлением Правительства Российской Федерации от 30 июня 2004 г. N 329, приказываю:</w:t>
      </w:r>
    </w:p>
    <w:p>
      <w:pPr>
        <w:pStyle w:val="Style11"/>
        <w:rPr/>
      </w:pPr>
      <w:bookmarkStart w:id="1" w:name="anchor1"/>
      <w:bookmarkEnd w:id="1"/>
      <w:r>
        <w:rPr/>
        <w:t>1. Установить:</w:t>
      </w:r>
    </w:p>
    <w:p>
      <w:pPr>
        <w:pStyle w:val="Style11"/>
        <w:rPr/>
      </w:pPr>
      <w:bookmarkStart w:id="2" w:name="anchor11"/>
      <w:bookmarkEnd w:id="2"/>
      <w:r>
        <w:rPr/>
        <w:t>а)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кальвадосного, вискового, ромового дистиллятов) за 0,5 литра готовой продукции,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производство, хранение и поставки произведенной алкогольной продукции, и поставки (за исключением экспорта) алкогольной продукции организацией на основании лицензии на производство, хранение и поставки произведенной алкогольной продукции, в размерах согласно приложению к настоящему приказу;</w:t>
      </w:r>
    </w:p>
    <w:p>
      <w:pPr>
        <w:pStyle w:val="Style11"/>
        <w:rPr/>
      </w:pPr>
      <w:bookmarkStart w:id="3" w:name="anchor12"/>
      <w:bookmarkEnd w:id="3"/>
      <w:r>
        <w:rPr/>
        <w:t>б) цены,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производство, хранение и поставки произведенной алкогольной продукции, и поставки (за исключением экспорта) алкогольной продукции организацией на основании лицензии на производство, хранение и поставки произведенной алкогольной продукции:</w:t>
      </w:r>
    </w:p>
    <w:p>
      <w:pPr>
        <w:pStyle w:val="Style11"/>
        <w:rPr/>
      </w:pPr>
      <w:r>
        <w:rPr/>
        <w:t>на бренди и другую алкогольную продукцию, произведенную из винного, виноградного, плодового, коньячного, кальвадосного, вискового, ромового дистиллятов, за исключением коньяка и виски, произведенного из дистиллятов с выдержкой не менее трех лет, - в размере 457 рублей за 0,5 литра готовой продукции;</w:t>
      </w:r>
    </w:p>
    <w:p>
      <w:pPr>
        <w:pStyle w:val="Style11"/>
        <w:rPr/>
      </w:pPr>
      <w:r>
        <w:rPr/>
        <w:t>на коньяк, виски, произведенный из дистиллятов с выдержкой не менее трех лет, - в размере 546 рублей за 0,5 литра готовой продукции;</w:t>
      </w:r>
    </w:p>
    <w:p>
      <w:pPr>
        <w:pStyle w:val="Style11"/>
        <w:rPr/>
      </w:pPr>
      <w:bookmarkStart w:id="4" w:name="anchor13"/>
      <w:bookmarkEnd w:id="4"/>
      <w:r>
        <w:rPr/>
        <w:t>в)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кальвадосного, вискового, ромового дистиллятов) за 0,5 литра готовой продукции,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алкогольной продукции организацией, осуществляющей ее закупку у иной организации, в размерах согласно приложению к настоящему приказу;</w:t>
      </w:r>
    </w:p>
    <w:p>
      <w:pPr>
        <w:pStyle w:val="Style11"/>
        <w:rPr/>
      </w:pPr>
      <w:bookmarkStart w:id="5" w:name="anchor14"/>
      <w:bookmarkEnd w:id="5"/>
      <w:r>
        <w:rPr/>
        <w:t>г) цены, не ниже которых осуществляются закупка (за исключением импорта) алкогольной продукции у организации, поставляющей такую продукцию на основании лицензии на закупку, хранение и поставки алкогольной продукции, и поставки (за исключением экспорта) алкогольной продукции организацией, осуществляющей ее закупку у иной организации:</w:t>
      </w:r>
    </w:p>
    <w:p>
      <w:pPr>
        <w:pStyle w:val="Style11"/>
        <w:rPr/>
      </w:pPr>
      <w:r>
        <w:rPr/>
        <w:t>на бренди и другую алкогольную продукцию, произведенную из винного, виноградного, плодового, коньячного, кальвадосного, вискового, ромового дистиллятов, за исключением коньяка и виски, произведенного из дистиллятов с выдержкой не менее трех лет, - в размере 463 рублей за 0,5 литра готовой продукции;</w:t>
      </w:r>
    </w:p>
    <w:p>
      <w:pPr>
        <w:pStyle w:val="Style11"/>
        <w:rPr/>
      </w:pPr>
      <w:r>
        <w:rPr/>
        <w:t>на коньяк, виски, произведенный из дистиллятов с выдержкой не менее трех лет, - в размере 577 рублей за 0,5 литра готовой продукции;</w:t>
      </w:r>
    </w:p>
    <w:p>
      <w:pPr>
        <w:pStyle w:val="Style11"/>
        <w:rPr/>
      </w:pPr>
      <w:bookmarkStart w:id="6" w:name="anchor15"/>
      <w:bookmarkEnd w:id="6"/>
      <w:r>
        <w:rPr/>
        <w:t>д) цены 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кальвадосного, вискового, ромового дистиллятов) за 0,5 литра готовой продукции, не ниже которых осуществляется розничная продажа такой алкогольной продукции, в размерах согласно приложению к настоящему приказу;</w:t>
      </w:r>
    </w:p>
    <w:p>
      <w:pPr>
        <w:pStyle w:val="Style11"/>
        <w:rPr/>
      </w:pPr>
      <w:bookmarkStart w:id="7" w:name="anchor16"/>
      <w:bookmarkEnd w:id="7"/>
      <w:r>
        <w:rPr/>
        <w:t>е) цены, не ниже которых осуществляется розничная продажа алкогольной продукции:</w:t>
      </w:r>
    </w:p>
    <w:p>
      <w:pPr>
        <w:pStyle w:val="Style11"/>
        <w:rPr/>
      </w:pPr>
      <w:r>
        <w:rPr/>
        <w:t>на бренди и другую алкогольную продукцию, произведенную из винного, виноградного, плодового, коньячного, кальвадосного, вискового, ромового дистиллятов, за исключением коньяка и виски, произведенного из дистиллятов с выдержкой не менее трех лет, - в размере 605 рублей за 0,5 литра готовой продукции;</w:t>
      </w:r>
    </w:p>
    <w:p>
      <w:pPr>
        <w:pStyle w:val="Style11"/>
        <w:rPr/>
      </w:pPr>
      <w:r>
        <w:rPr/>
        <w:t>на коньяк, виски, произведенный из дистиллятов с выдержкой не менее трех лет, - в размере 755 рублей за 0,5 литра готовой продукции.</w:t>
      </w:r>
    </w:p>
    <w:p>
      <w:pPr>
        <w:pStyle w:val="Style11"/>
        <w:rPr/>
      </w:pPr>
      <w:bookmarkStart w:id="8" w:name="anchor2"/>
      <w:bookmarkEnd w:id="8"/>
      <w:r>
        <w:rPr/>
        <w:t>2. Цены,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процентов, розлитой в потребительскую тару иной чем 0,5 литра емкостью, рассчитываются пропорционально ценам, установленным подпунктами "а" - "е" пункта 1 настоящего приказа, за исключением водки, розлитой в потребительскую тару объемом свыше 0,375 до 0,5 литра, цена которой равна цене водки, розлитой в потребительскую тару емкостью 0,5 литра.</w:t>
      </w:r>
    </w:p>
    <w:p>
      <w:pPr>
        <w:pStyle w:val="Style11"/>
        <w:rPr/>
      </w:pPr>
      <w:bookmarkStart w:id="9" w:name="anchor3"/>
      <w:bookmarkEnd w:id="9"/>
      <w:r>
        <w:rPr/>
        <w:t>3. Признать утратившим силу приказ Министерства финансов Российской Федерации от 12 декабря 2024 г. N 191н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Министерством юстиции Российской Федерации 13 декабря 2024 г., регистрационный N 80566).</w:t>
      </w:r>
    </w:p>
    <w:p>
      <w:pPr>
        <w:pStyle w:val="Style11"/>
        <w:rPr/>
      </w:pPr>
      <w:bookmarkStart w:id="10" w:name="anchor4"/>
      <w:bookmarkEnd w:id="10"/>
      <w:r>
        <w:rPr/>
        <w:t>4. Настоящий приказ вступает в силу с 1 января 2026 года, но не ранее чем по истечении 10 дней со дня его официального опубликования, и действует по 31 декабря 2031 года включительно.</w:t>
      </w:r>
    </w:p>
    <w:p>
      <w:pPr>
        <w:pStyle w:val="Style11"/>
        <w:rPr/>
      </w:pPr>
      <w:r>
        <w:rPr/>
      </w:r>
    </w:p>
    <w:tbl>
      <w:tblPr>
        <w:tblW w:w="102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3"/>
        <w:gridCol w:w="3402"/>
      </w:tblGrid>
      <w:tr>
        <w:trPr/>
        <w:tc>
          <w:tcPr>
            <w:tcW w:w="6803" w:type="dxa"/>
            <w:tcBorders/>
          </w:tcPr>
          <w:p>
            <w:pPr>
              <w:pStyle w:val="Style15"/>
              <w:ind w:hanging="0"/>
              <w:rPr/>
            </w:pPr>
            <w:r>
              <w:rPr/>
              <w:t>Министр</w:t>
            </w:r>
          </w:p>
        </w:tc>
        <w:tc>
          <w:tcPr>
            <w:tcW w:w="3402" w:type="dxa"/>
            <w:tcBorders/>
          </w:tcPr>
          <w:p>
            <w:pPr>
              <w:pStyle w:val="Style11"/>
              <w:ind w:hanging="0"/>
              <w:jc w:val="end"/>
              <w:rPr/>
            </w:pPr>
            <w:r>
              <w:rPr/>
              <w:t>А.Г. Силуанов</w:t>
            </w:r>
          </w:p>
        </w:tc>
      </w:tr>
    </w:tbl>
    <w:p>
      <w:pPr>
        <w:pStyle w:val="Style11"/>
        <w:rPr/>
      </w:pPr>
      <w:r>
        <w:rPr/>
      </w:r>
    </w:p>
    <w:p>
      <w:pPr>
        <w:pStyle w:val="Style15"/>
        <w:ind w:hanging="0"/>
        <w:rPr/>
      </w:pPr>
      <w:r>
        <w:rPr/>
        <w:t>Зарегистрировано в Минюсте России 19 декабря 2025 г. Регистрационный N 84682</w:t>
      </w:r>
    </w:p>
    <w:p>
      <w:pPr>
        <w:sectPr>
          <w:footerReference w:type="default" r:id="rId2"/>
          <w:type w:val="nextPage"/>
          <w:pgSz w:w="11906" w:h="16838"/>
          <w:pgMar w:left="794" w:right="794" w:gutter="0" w:header="0" w:top="794" w:footer="794" w:bottom="1077"/>
          <w:pgNumType w:fmt="decimal"/>
          <w:formProt w:val="false"/>
          <w:textDirection w:val="lrTb"/>
          <w:docGrid w:type="default" w:linePitch="600" w:charSpace="32768"/>
        </w:sectPr>
        <w:pStyle w:val="Style11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Style11"/>
        <w:ind w:firstLine="680"/>
        <w:jc w:val="end"/>
        <w:rPr>
          <w:b/>
          <w:color w:val="26282F"/>
        </w:rPr>
      </w:pPr>
      <w:bookmarkStart w:id="11" w:name="anchor1000"/>
      <w:bookmarkEnd w:id="11"/>
      <w:r>
        <w:rPr>
          <w:b/>
          <w:color w:val="26282F"/>
        </w:rPr>
        <w:t>Приложение к приказу Министерства финансов Российской Федерации от 18.12.2025 N 181н</w:t>
      </w:r>
    </w:p>
    <w:p>
      <w:pPr>
        <w:pStyle w:val="Style11"/>
        <w:rPr/>
      </w:pPr>
      <w:r>
        <w:rPr/>
      </w:r>
    </w:p>
    <w:p>
      <w:pPr>
        <w:pStyle w:val="Heading1"/>
        <w:numPr>
          <w:ilvl w:val="0"/>
          <w:numId w:val="1"/>
        </w:numPr>
        <w:outlineLvl w:val="0"/>
        <w:rPr/>
      </w:pPr>
      <w:r>
        <w:rPr/>
        <w:t>Цены, не ниже которых осуществляются закупка (за исключением импорта), поставки (за исключением экспорта) и розничная продажа водки, ликероводочной и другой алкогольной продукции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кальвадосного, вискового, ромового дистиллятов), за 0,5 литра готовой продукции</w:t>
      </w:r>
    </w:p>
    <w:p>
      <w:pPr>
        <w:pStyle w:val="Style11"/>
        <w:rPr/>
      </w:pPr>
      <w:r>
        <w:rPr/>
      </w:r>
    </w:p>
    <w:tbl>
      <w:tblPr>
        <w:tblW w:w="15307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90"/>
        <w:gridCol w:w="45"/>
        <w:gridCol w:w="1969"/>
        <w:gridCol w:w="45"/>
        <w:gridCol w:w="1969"/>
        <w:gridCol w:w="78"/>
        <w:gridCol w:w="2248"/>
        <w:gridCol w:w="45"/>
        <w:gridCol w:w="1914"/>
        <w:gridCol w:w="2248"/>
        <w:gridCol w:w="1969"/>
        <w:gridCol w:w="2087"/>
      </w:tblGrid>
      <w:tr>
        <w:trPr/>
        <w:tc>
          <w:tcPr>
            <w:tcW w:w="735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N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п/п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Процентное содержание спирта в готовой продукции</w:t>
            </w:r>
          </w:p>
        </w:tc>
        <w:tc>
          <w:tcPr>
            <w:tcW w:w="12558" w:type="dxa"/>
            <w:gridSpan w:val="8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Цена, не ниже которой осуществляется:</w:t>
            </w:r>
          </w:p>
        </w:tc>
      </w:tr>
      <w:tr>
        <w:trPr/>
        <w:tc>
          <w:tcPr>
            <w:tcW w:w="735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14" w:type="dxa"/>
            <w:gridSpan w:val="2"/>
            <w:vMerge w:val="continue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95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закупка (за исключением импорта)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продукции у организации, осуществившей производство, и поставки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(за исключением экспорта) продукции организацией, осуществившей производство продукции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(с НДС и акцизом)</w:t>
            </w:r>
          </w:p>
        </w:tc>
        <w:tc>
          <w:tcPr>
            <w:tcW w:w="4207" w:type="dxa"/>
            <w:gridSpan w:val="3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закупка (за исключением импорта)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продукции у организации, осуществившей закупку у иной организации, и поставки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(за исключением экспорта) продукции организацией, осуществившей закупку у иной организации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(с НДС и акцизом)</w:t>
            </w:r>
          </w:p>
        </w:tc>
        <w:tc>
          <w:tcPr>
            <w:tcW w:w="405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розничная продажа продукции (с НДС и акцизом)</w:t>
            </w:r>
          </w:p>
        </w:tc>
      </w:tr>
      <w:tr>
        <w:trPr/>
        <w:tc>
          <w:tcPr>
            <w:tcW w:w="735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14" w:type="dxa"/>
            <w:gridSpan w:val="2"/>
            <w:vMerge w:val="continue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водки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ликероводочной и другой алкогольной продукции крепостью свыше 28%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(за исключением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водки)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водки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ликероводочной и другой алкогольной продукции крепостью свыше 28%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(за исключением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водки)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водки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ликероводочной и другой алкогольной продукции крепостью свыше 28%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(за исключением</w:t>
            </w:r>
          </w:p>
          <w:p>
            <w:pPr>
              <w:pStyle w:val="Style11"/>
              <w:ind w:hanging="0"/>
              <w:jc w:val="center"/>
              <w:rPr/>
            </w:pPr>
            <w:r>
              <w:rPr/>
              <w:t>водки)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12" w:name="anchor1001"/>
            <w:bookmarkEnd w:id="12"/>
            <w:r>
              <w:rPr/>
              <w:t>1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28 до 29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264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276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325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13" w:name="anchor1002"/>
            <w:bookmarkEnd w:id="13"/>
            <w:r>
              <w:rPr/>
              <w:t>2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29 до 30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272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283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332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14" w:name="anchor1003"/>
            <w:bookmarkEnd w:id="14"/>
            <w:r>
              <w:rPr/>
              <w:t>3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свыше 30 до 31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279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290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340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15" w:name="anchor1004"/>
            <w:bookmarkEnd w:id="15"/>
            <w:r>
              <w:rPr/>
              <w:t>4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31 до 32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284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297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346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16" w:name="anchor1005"/>
            <w:bookmarkEnd w:id="16"/>
            <w:r>
              <w:rPr/>
              <w:t>5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32 до 33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292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301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354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17" w:name="anchor1006"/>
            <w:bookmarkEnd w:id="17"/>
            <w:r>
              <w:rPr/>
              <w:t>6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33 до 34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298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308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365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18" w:name="anchor1007"/>
            <w:bookmarkEnd w:id="18"/>
            <w:r>
              <w:rPr/>
              <w:t>7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34 до 35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304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316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372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19" w:name="anchor1008"/>
            <w:bookmarkEnd w:id="19"/>
            <w:r>
              <w:rPr/>
              <w:t>8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35 до 36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312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323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379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20" w:name="anchor1009"/>
            <w:bookmarkEnd w:id="20"/>
            <w:r>
              <w:rPr/>
              <w:t>9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36 до 37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317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330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388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21" w:name="anchor1010"/>
            <w:bookmarkEnd w:id="21"/>
            <w:r>
              <w:rPr/>
              <w:t>10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37 до 38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337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325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351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337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409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393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22" w:name="anchor1011"/>
            <w:bookmarkEnd w:id="22"/>
            <w:r>
              <w:rPr/>
              <w:t>11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38 до 39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337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331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351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341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409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402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23" w:name="anchor1012"/>
            <w:bookmarkEnd w:id="23"/>
            <w:r>
              <w:rPr/>
              <w:t>12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39 до 40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337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337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351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351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409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409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24" w:name="anchor1013"/>
            <w:bookmarkEnd w:id="24"/>
            <w:r>
              <w:rPr/>
              <w:t>13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40 до 41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344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344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355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355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425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425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25" w:name="anchor1014"/>
            <w:bookmarkEnd w:id="25"/>
            <w:r>
              <w:rPr/>
              <w:t>14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41 до 42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352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352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365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365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430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430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26" w:name="anchor1015"/>
            <w:bookmarkEnd w:id="26"/>
            <w:r>
              <w:rPr/>
              <w:t>15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42 до 43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357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357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369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369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436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436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27" w:name="anchor1016"/>
            <w:bookmarkEnd w:id="27"/>
            <w:r>
              <w:rPr/>
              <w:t>16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43 до 44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362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362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378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378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445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445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28" w:name="anchor1017"/>
            <w:bookmarkEnd w:id="28"/>
            <w:r>
              <w:rPr/>
              <w:t>17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44 до 45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371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371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386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386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454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454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29" w:name="anchor1018"/>
            <w:bookmarkEnd w:id="29"/>
            <w:r>
              <w:rPr/>
              <w:t>18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45 до 46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377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377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391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391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463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463</w:t>
            </w:r>
          </w:p>
        </w:tc>
      </w:tr>
      <w:tr>
        <w:trPr/>
        <w:tc>
          <w:tcPr>
            <w:tcW w:w="735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30" w:name="anchor1019"/>
            <w:bookmarkEnd w:id="30"/>
            <w:r>
              <w:rPr/>
              <w:t>19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ind w:hanging="0"/>
              <w:rPr/>
            </w:pPr>
            <w:r>
              <w:rPr/>
              <w:t>свыше 46 до 47 включительно</w:t>
            </w:r>
          </w:p>
        </w:tc>
        <w:tc>
          <w:tcPr>
            <w:tcW w:w="2047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385</w:t>
            </w:r>
          </w:p>
        </w:tc>
        <w:tc>
          <w:tcPr>
            <w:tcW w:w="2293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385</w:t>
            </w:r>
          </w:p>
        </w:tc>
        <w:tc>
          <w:tcPr>
            <w:tcW w:w="1914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401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401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470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470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31" w:name="anchor1020"/>
            <w:bookmarkEnd w:id="31"/>
            <w:r>
              <w:rPr/>
              <w:t>20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47 до 48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389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389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406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406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477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477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32" w:name="anchor1021"/>
            <w:bookmarkEnd w:id="32"/>
            <w:r>
              <w:rPr/>
              <w:t>21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48 до 49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399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399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412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412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484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484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33" w:name="anchor1022"/>
            <w:bookmarkEnd w:id="33"/>
            <w:r>
              <w:rPr/>
              <w:t>22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49 до 50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405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405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418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418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491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491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34" w:name="anchor1023"/>
            <w:bookmarkEnd w:id="34"/>
            <w:r>
              <w:rPr/>
              <w:t>23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50 до 51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411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411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426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426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502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502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35" w:name="anchor1024"/>
            <w:bookmarkEnd w:id="35"/>
            <w:r>
              <w:rPr/>
              <w:t>24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51 до 52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416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416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430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430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510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510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36" w:name="anchor1025"/>
            <w:bookmarkEnd w:id="36"/>
            <w:r>
              <w:rPr/>
              <w:t>25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52 до 53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421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421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438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438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517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517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37" w:name="anchor1026"/>
            <w:bookmarkEnd w:id="37"/>
            <w:r>
              <w:rPr/>
              <w:t>26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53 до 54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429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429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446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446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524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524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38" w:name="anchor1027"/>
            <w:bookmarkEnd w:id="38"/>
            <w:r>
              <w:rPr/>
              <w:t>27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54 до 55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435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435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454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454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534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534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39" w:name="anchor1028"/>
            <w:bookmarkEnd w:id="39"/>
            <w:r>
              <w:rPr/>
              <w:t>28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55 до 56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445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445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460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460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544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544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40" w:name="anchor1029"/>
            <w:bookmarkEnd w:id="40"/>
            <w:r>
              <w:rPr/>
              <w:t>29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56 до 57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450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466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551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41" w:name="anchor1030"/>
            <w:bookmarkEnd w:id="41"/>
            <w:r>
              <w:rPr/>
              <w:t>30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57 до 58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455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474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558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42" w:name="anchor1031"/>
            <w:bookmarkEnd w:id="42"/>
            <w:r>
              <w:rPr/>
              <w:t>31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58 до 59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463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477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568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43" w:name="anchor1032"/>
            <w:bookmarkEnd w:id="43"/>
            <w:r>
              <w:rPr/>
              <w:t>32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59 до 60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468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489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572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44" w:name="anchor1033"/>
            <w:bookmarkEnd w:id="44"/>
            <w:r>
              <w:rPr/>
              <w:t>33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ind w:hanging="0"/>
              <w:rPr/>
            </w:pPr>
            <w:r>
              <w:rPr/>
              <w:t>свыше 60 до 61 включительно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475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491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582</w:t>
            </w:r>
          </w:p>
        </w:tc>
      </w:tr>
      <w:tr>
        <w:trPr/>
        <w:tc>
          <w:tcPr>
            <w:tcW w:w="69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bookmarkStart w:id="45" w:name="anchor1034"/>
            <w:bookmarkEnd w:id="45"/>
            <w:r>
              <w:rPr/>
              <w:t>34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свыше 61</w:t>
            </w:r>
          </w:p>
        </w:tc>
        <w:tc>
          <w:tcPr>
            <w:tcW w:w="2014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326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483</w:t>
            </w:r>
          </w:p>
        </w:tc>
        <w:tc>
          <w:tcPr>
            <w:tcW w:w="1959" w:type="dxa"/>
            <w:gridSpan w:val="2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248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502</w:t>
            </w:r>
          </w:p>
        </w:tc>
        <w:tc>
          <w:tcPr>
            <w:tcW w:w="1969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-</w:t>
            </w:r>
          </w:p>
        </w:tc>
        <w:tc>
          <w:tcPr>
            <w:tcW w:w="2087" w:type="dxa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Style11"/>
              <w:ind w:hanging="0"/>
              <w:jc w:val="center"/>
              <w:rPr/>
            </w:pPr>
            <w:r>
              <w:rPr/>
              <w:t>591</w:t>
            </w:r>
          </w:p>
        </w:tc>
      </w:tr>
    </w:tbl>
    <w:p>
      <w:pPr>
        <w:pStyle w:val="Style11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794" w:right="794" w:gutter="0" w:header="0" w:top="794" w:footer="794" w:bottom="10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auto"/>
    <w:pitch w:val="default"/>
  </w:font>
  <w:font w:name="Courier New">
    <w:charset w:val="cc" w:characterSet="windows-1251"/>
    <w:family w:val="auto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3439"/>
      <w:gridCol w:w="3439"/>
      <w:gridCol w:w="3440"/>
    </w:tblGrid>
    <w:tr>
      <w:trPr/>
      <w:tc>
        <w:tcPr>
          <w:tcW w:w="3439" w:type="dxa"/>
          <w:tcBorders/>
        </w:tcPr>
        <w:p>
          <w:pPr>
            <w:pStyle w:val="Normal"/>
            <w:ind w:hanging="0"/>
            <w:jc w:val="start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39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3440" w:type="dxa"/>
          <w:tcBorders/>
        </w:tcPr>
        <w:p>
          <w:pPr>
            <w:pStyle w:val="Normal"/>
            <w:ind w:hanging="0"/>
            <w:jc w:val="end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5083"/>
      <w:gridCol w:w="5083"/>
      <w:gridCol w:w="5084"/>
    </w:tblGrid>
    <w:tr>
      <w:trPr/>
      <w:tc>
        <w:tcPr>
          <w:tcW w:w="5083" w:type="dxa"/>
          <w:tcBorders/>
        </w:tcPr>
        <w:p>
          <w:pPr>
            <w:pStyle w:val="Normal"/>
            <w:ind w:hanging="0"/>
            <w:jc w:val="start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5083" w:type="dxa"/>
          <w:tcBorders/>
        </w:tcPr>
        <w:p>
          <w:pPr>
            <w:pStyle w:val="Normal"/>
            <w:ind w:hanging="0"/>
            <w:jc w:val="center"/>
            <w:rPr>
              <w:rFonts w:ascii="Times New Roman" w:hAnsi="Times New Roman"/>
              <w:sz w:val="20"/>
            </w:rPr>
          </w:pPr>
          <w:r>
            <w:rPr>
              <w:sz w:val="20"/>
            </w:rPr>
          </w:r>
        </w:p>
      </w:tc>
      <w:tc>
        <w:tcPr>
          <w:tcW w:w="5084" w:type="dxa"/>
          <w:tcBorders/>
        </w:tcPr>
        <w:p>
          <w:pPr>
            <w:pStyle w:val="Normal"/>
            <w:ind w:hanging="0"/>
            <w:jc w:val="end"/>
            <w:rPr>
              <w:rFonts w:ascii="Times New Roman" w:hAnsi="Times New Roman"/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5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</w:p>
      </w:tc>
    </w:tr>
  </w:tbl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ind w:firstLine="720" w:start="0" w:end="0"/>
      <w:jc w:val="both"/>
    </w:pPr>
    <w:rPr>
      <w:rFonts w:ascii="Times New Roman" w:hAnsi="Times New Roman"/>
      <w:sz w:val="24"/>
      <w:lang w:val="ru-RU" w:eastAsia="zh-CN" w:bidi="hi-IN"/>
    </w:rPr>
  </w:style>
  <w:style w:type="paragraph" w:styleId="Heading1">
    <w:name w:val="Heading 1"/>
    <w:basedOn w:val="Style10"/>
    <w:qFormat/>
    <w:pPr/>
    <w:rPr/>
  </w:style>
  <w:style w:type="paragraph" w:styleId="Heading2">
    <w:name w:val="Heading 2"/>
    <w:basedOn w:val="Style10"/>
    <w:qFormat/>
    <w:pPr/>
    <w:rPr/>
  </w:style>
  <w:style w:type="paragraph" w:styleId="Heading3">
    <w:name w:val="Heading 3"/>
    <w:basedOn w:val="Style10"/>
    <w:qFormat/>
    <w:pPr/>
    <w:rPr/>
  </w:style>
  <w:style w:type="paragraph" w:styleId="Heading4">
    <w:name w:val="Heading 4"/>
    <w:basedOn w:val="Style10"/>
    <w:qFormat/>
    <w:pPr/>
    <w:rPr/>
  </w:style>
  <w:style w:type="character" w:styleId="Hyperlink">
    <w:name w:val="Hyperlink"/>
    <w:rPr>
      <w:color w:val="000080"/>
      <w:u w:val="single"/>
    </w:rPr>
  </w:style>
  <w:style w:type="paragraph" w:styleId="Normal1">
    <w:name w:val="Normal1"/>
    <w:qFormat/>
    <w:pPr>
      <w:widowControl w:val="false"/>
      <w:bidi w:val="0"/>
    </w:pPr>
    <w:rPr>
      <w:rFonts w:ascii="Times New Roman" w:hAnsi="Times New Roman"/>
      <w:sz w:val="24"/>
      <w:lang w:val="ru-RU" w:eastAsia="zh-CN" w:bidi="hi-IN"/>
    </w:rPr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hanging="0" w:start="0" w:end="0"/>
      <w:jc w:val="both"/>
    </w:pPr>
    <w:rPr>
      <w:rFonts w:ascii="Courier New" w:hAnsi="Courier New" w:eastAsia="Symbol" w:cs="Wingdings"/>
      <w:sz w:val="24"/>
      <w:szCs w:val="24"/>
      <w:lang w:val="ru-RU" w:eastAsia="zh-CN" w:bidi="hi-IN"/>
    </w:rPr>
  </w:style>
  <w:style w:type="paragraph" w:styleId="Style10">
    <w:name w:val="Заголовок"/>
    <w:basedOn w:val="Normal"/>
    <w:qFormat/>
    <w:pPr>
      <w:keepNext w:val="true"/>
      <w:spacing w:before="240" w:after="120"/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1">
    <w:name w:val="Нормальный"/>
    <w:basedOn w:val="Normal"/>
    <w:qFormat/>
    <w:pPr/>
    <w:rPr/>
  </w:style>
  <w:style w:type="paragraph" w:styleId="OEM">
    <w:name w:val="Нормальный (OEM)"/>
    <w:basedOn w:val="Preformatted"/>
    <w:qFormat/>
    <w:pPr/>
    <w:rPr/>
  </w:style>
  <w:style w:type="paragraph" w:styleId="Style12">
    <w:name w:val="Утратил силу"/>
    <w:basedOn w:val="Normal"/>
    <w:qFormat/>
    <w:pPr/>
    <w:rPr>
      <w:strike/>
      <w:color w:val="666600"/>
    </w:rPr>
  </w:style>
  <w:style w:type="paragraph" w:styleId="Textreference">
    <w:name w:val="Text (reference)"/>
    <w:basedOn w:val="Normal"/>
    <w:qFormat/>
    <w:pPr>
      <w:spacing w:before="75" w:after="0"/>
      <w:ind w:hanging="0" w:start="0" w:end="0"/>
      <w:jc w:val="both"/>
    </w:pPr>
    <w:rPr>
      <w:i/>
      <w:color w:val="353842"/>
      <w:sz w:val="24"/>
    </w:rPr>
  </w:style>
  <w:style w:type="paragraph" w:styleId="Style13">
    <w:name w:val="Комментарий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4">
    <w:name w:val="Заголовок статьи"/>
    <w:basedOn w:val="Normal"/>
    <w:qFormat/>
    <w:pPr>
      <w:spacing w:before="0" w:after="0"/>
      <w:ind w:hanging="892" w:start="1612" w:end="0"/>
      <w:jc w:val="both"/>
    </w:pPr>
    <w:rPr/>
  </w:style>
  <w:style w:type="paragraph" w:styleId="Style15">
    <w:name w:val="Прижатый влево"/>
    <w:basedOn w:val="Normal"/>
    <w:qFormat/>
    <w:pPr>
      <w:suppressAutoHyphens w:val="true"/>
      <w:ind w:hanging="0"/>
      <w:jc w:val="start"/>
    </w:pPr>
    <w:rPr/>
  </w:style>
  <w:style w:type="paragraph" w:styleId="Style16">
    <w:name w:val="Информация о версии"/>
    <w:basedOn w:val="Textreference"/>
    <w:qFormat/>
    <w:pPr>
      <w:shd w:fill="F0F0F0" w:val="clear"/>
      <w:jc w:val="both"/>
    </w:pPr>
    <w:rPr>
      <w:shd w:fill="F0F0F0" w:val="clear"/>
    </w:rPr>
  </w:style>
  <w:style w:type="paragraph" w:styleId="Style17">
    <w:name w:val="Не вступил в силу"/>
    <w:basedOn w:val="Normal"/>
    <w:qFormat/>
    <w:pPr>
      <w:ind w:hanging="139" w:start="139" w:end="0"/>
    </w:pPr>
    <w:rPr/>
  </w:style>
  <w:style w:type="paragraph" w:styleId="Style18">
    <w:name w:val="Информация об изменениях"/>
    <w:basedOn w:val="Textreference"/>
    <w:qFormat/>
    <w:pPr>
      <w:shd w:fill="EAEFED" w:val="clear"/>
    </w:pPr>
    <w:rPr>
      <w:sz w:val="20"/>
      <w:shd w:fill="EAEFED" w:val="clear"/>
    </w:rPr>
  </w:style>
  <w:style w:type="paragraph" w:styleId="Style19">
    <w:name w:val="Заголовок ЭР (левое окно)"/>
    <w:basedOn w:val="Style10"/>
    <w:qFormat/>
    <w:pPr/>
    <w:rPr/>
  </w:style>
  <w:style w:type="paragraph" w:styleId="FootnoteText">
    <w:name w:val="Footnote Text"/>
    <w:basedOn w:val="Normal"/>
    <w:pPr/>
    <w:rPr>
      <w:sz w:val="20"/>
    </w:rPr>
  </w:style>
  <w:style w:type="paragraph" w:styleId="Style20">
    <w:name w:val="Взамен"/>
    <w:basedOn w:val="Textreference"/>
    <w:qFormat/>
    <w:pPr>
      <w:shd w:fill="FFF5AD" w:val="clear"/>
      <w:ind w:hanging="0" w:start="432"/>
    </w:pPr>
    <w:rPr>
      <w:shd w:fill="FFF5AD" w:val="clear"/>
    </w:rPr>
  </w:style>
  <w:style w:type="paragraph" w:styleId="Style21">
    <w:name w:val="Сравнение"/>
    <w:basedOn w:val="Textreference"/>
    <w:qFormat/>
    <w:pPr>
      <w:shd w:fill="F0F0F0" w:val="clear"/>
      <w:ind w:hanging="0" w:start="432"/>
    </w:pPr>
    <w:rPr>
      <w:shd w:fill="F0F0F0" w:val="clear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2"/>
    <w:pPr>
      <w:suppressLineNumbers/>
    </w:pPr>
    <w:rPr/>
  </w:style>
  <w:style w:type="paragraph" w:styleId="Footer">
    <w:name w:val="Footer"/>
    <w:basedOn w:val="Style22"/>
    <w:pPr>
      <w:suppressLineNumbers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5</Pages>
  <Words>1392</Words>
  <Characters>7925</Characters>
  <CharactersWithSpaces>8995</CharactersWithSpaces>
  <Paragraphs>330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2026-04-09T12:20:56Z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