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numPr>
          <w:ilvl w:val="0"/>
          <w:numId w:val="1"/>
        </w:numPr>
        <w:spacing w:before="240" w:after="120"/>
        <w:outlineLvl w:val="0"/>
        <w:rPr/>
      </w:pPr>
      <w:bookmarkStart w:id="0" w:name="anchor0"/>
      <w:bookmarkEnd w:id="0"/>
      <w:r>
        <w:rPr/>
        <w:t>Приказ Минфина России от 13 января 2026 г. № 1н "Об утверждении Порядка ведения государственного сводного реестра выданных, приостановленных и аннулированных лицензий на производство и оборот этилового спирта, алкогольной и спиртосодержащей продукции"</w:t>
      </w:r>
    </w:p>
    <w:p>
      <w:pPr>
        <w:pStyle w:val="Style11"/>
        <w:rPr/>
      </w:pPr>
      <w:r>
        <w:rPr/>
      </w:r>
    </w:p>
    <w:p>
      <w:pPr>
        <w:pStyle w:val="Style11"/>
        <w:rPr/>
      </w:pPr>
      <w:r>
        <w:rPr/>
        <w:t>В соответствии с подпунктом 28 статьи 2, абзацем первым пункта 18 статьи 19 Федерального закона от 22 ноября 1995 г.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и абзацем первым пункта 1 Положения о Министерстве финансов Российской Федерации, утвержденного постановлением Правительства Российской Федерации от 30 июня 2004 г. № 329, приказываю:</w:t>
      </w:r>
    </w:p>
    <w:p>
      <w:pPr>
        <w:pStyle w:val="Style11"/>
        <w:rPr/>
      </w:pPr>
      <w:bookmarkStart w:id="1" w:name="anchor1"/>
      <w:bookmarkEnd w:id="1"/>
      <w:r>
        <w:rPr/>
        <w:t>1. Утвердить прилагаемый Порядок ведения государственного сводного реестра выданных, приостановленных и аннулированных лицензий на производство и оборот этилового спирта, алкогольной и спиртосодержащей продукции.</w:t>
      </w:r>
    </w:p>
    <w:p>
      <w:pPr>
        <w:pStyle w:val="Style11"/>
        <w:rPr/>
      </w:pPr>
      <w:bookmarkStart w:id="2" w:name="anchor2"/>
      <w:bookmarkEnd w:id="2"/>
      <w:r>
        <w:rPr/>
        <w:t>2. Настоящий приказ вступает в силу с 1 марта 2026 г.</w:t>
      </w:r>
    </w:p>
    <w:p>
      <w:pPr>
        <w:pStyle w:val="Style11"/>
        <w:rPr/>
      </w:pPr>
      <w:r>
        <w:rPr/>
      </w:r>
    </w:p>
    <w:tbl>
      <w:tblPr>
        <w:tblW w:w="10205" w:type="dxa"/>
        <w:jc w:val="start"/>
        <w:tblInd w:w="0" w:type="dxa"/>
        <w:tblLayout w:type="fixed"/>
        <w:tblCellMar>
          <w:top w:w="0" w:type="dxa"/>
          <w:start w:w="0" w:type="dxa"/>
          <w:bottom w:w="0" w:type="dxa"/>
          <w:end w:w="0" w:type="dxa"/>
        </w:tblCellMar>
      </w:tblPr>
      <w:tblGrid>
        <w:gridCol w:w="6803"/>
        <w:gridCol w:w="3402"/>
      </w:tblGrid>
      <w:tr>
        <w:trPr/>
        <w:tc>
          <w:tcPr>
            <w:tcW w:w="6803" w:type="dxa"/>
            <w:tcBorders/>
          </w:tcPr>
          <w:p>
            <w:pPr>
              <w:pStyle w:val="Style15"/>
              <w:ind w:hanging="0"/>
              <w:rPr/>
            </w:pPr>
            <w:r>
              <w:rPr/>
              <w:t>Министр</w:t>
            </w:r>
          </w:p>
        </w:tc>
        <w:tc>
          <w:tcPr>
            <w:tcW w:w="3402" w:type="dxa"/>
            <w:tcBorders/>
          </w:tcPr>
          <w:p>
            <w:pPr>
              <w:pStyle w:val="Style11"/>
              <w:ind w:hanging="0"/>
              <w:jc w:val="end"/>
              <w:rPr/>
            </w:pPr>
            <w:r>
              <w:rPr/>
              <w:t>А.Г. Силуанов</w:t>
            </w:r>
          </w:p>
        </w:tc>
      </w:tr>
    </w:tbl>
    <w:p>
      <w:pPr>
        <w:pStyle w:val="Style11"/>
        <w:rPr/>
      </w:pPr>
      <w:r>
        <w:rPr/>
      </w:r>
    </w:p>
    <w:p>
      <w:pPr>
        <w:pStyle w:val="Style15"/>
        <w:ind w:hanging="0"/>
        <w:rPr/>
      </w:pPr>
      <w:r>
        <w:rPr/>
        <w:t>Зарегистрировано в Минюсте России 27 февраля 2026 г. Регистрационный № 85510</w:t>
      </w:r>
    </w:p>
    <w:p>
      <w:pPr>
        <w:pStyle w:val="Style11"/>
        <w:rPr/>
      </w:pPr>
      <w:r>
        <w:rPr/>
      </w:r>
    </w:p>
    <w:p>
      <w:pPr>
        <w:pStyle w:val="Style11"/>
        <w:ind w:firstLine="680"/>
        <w:jc w:val="end"/>
        <w:rPr>
          <w:b/>
          <w:color w:val="26282F"/>
        </w:rPr>
      </w:pPr>
      <w:bookmarkStart w:id="3" w:name="anchor1000"/>
      <w:bookmarkEnd w:id="3"/>
      <w:r>
        <w:rPr>
          <w:b/>
          <w:color w:val="26282F"/>
        </w:rPr>
        <w:t>УТВЕРЖДЕН приказом Министерства финансов Российской Федерации от 13 января 2026 г. № 1н</w:t>
      </w:r>
    </w:p>
    <w:p>
      <w:pPr>
        <w:pStyle w:val="Style11"/>
        <w:rPr/>
      </w:pPr>
      <w:r>
        <w:rPr/>
      </w:r>
    </w:p>
    <w:p>
      <w:pPr>
        <w:pStyle w:val="Heading1"/>
        <w:numPr>
          <w:ilvl w:val="0"/>
          <w:numId w:val="1"/>
        </w:numPr>
        <w:outlineLvl w:val="0"/>
        <w:rPr/>
      </w:pPr>
      <w:r>
        <w:rPr/>
        <w:t>Порядок ведения государственного сводного реестра выданных, приостановленных и аннулированных лицензий на производство и оборот этилового спирта, алкогольной и спиртосодержащей продукции</w:t>
      </w:r>
    </w:p>
    <w:p>
      <w:pPr>
        <w:pStyle w:val="Style11"/>
        <w:rPr/>
      </w:pPr>
      <w:r>
        <w:rPr/>
      </w:r>
    </w:p>
    <w:p>
      <w:pPr>
        <w:pStyle w:val="Style11"/>
        <w:rPr/>
      </w:pPr>
      <w:bookmarkStart w:id="4" w:name="anchor1001"/>
      <w:bookmarkEnd w:id="4"/>
      <w:r>
        <w:rPr/>
        <w:t>1. Государственный сводный реестр выданных, приостановленных и аннулированных лицензий на производство и оборот этилового спирта, алкогольной и спиртосодержащей продукции (далее - государственный сводный реестр лицензий) содержит:</w:t>
      </w:r>
    </w:p>
    <w:p>
      <w:pPr>
        <w:pStyle w:val="Style11"/>
        <w:rPr/>
      </w:pPr>
      <w:bookmarkStart w:id="5" w:name="anchor1011"/>
      <w:bookmarkEnd w:id="5"/>
      <w:r>
        <w:rPr/>
        <w:t>1) регистрационный номер лицензии на производство и оборот этилового спирта, алкогольной и спиртосодержащей продукции, присвоенный в соответствии с пунктом 22 Правил формирования и ведения единого реестра учета лицензий (разрешений) и присвоения разрешениям (в том числе лицензиям) регистрационных номеров с использованием указанного реестра, приведенных в приложении № 2 к Правилам ведения федеральной государственной информационной системы "Федеральный реестр государственных и муниципальных услуг (функций)", утвержденным постановлением Правительства Российской Федерации от 24 октября 2011 г.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pPr>
        <w:pStyle w:val="Style11"/>
        <w:rPr/>
      </w:pPr>
      <w:bookmarkStart w:id="6" w:name="anchor1012"/>
      <w:bookmarkEnd w:id="6"/>
      <w:r>
        <w:rPr/>
        <w:t>2) номер записи о выдаче лицензии на производство и оборот этилового спирта, алкогольной и спиртосодержащей продукции, присвоенный государственным сводным реестром лицензий;</w:t>
      </w:r>
    </w:p>
    <w:p>
      <w:pPr>
        <w:pStyle w:val="Style11"/>
        <w:rPr/>
      </w:pPr>
      <w:bookmarkStart w:id="7" w:name="anchor1013"/>
      <w:bookmarkEnd w:id="7"/>
      <w:r>
        <w:rPr/>
        <w:t>3) дату выдачи лицензии на производство и оборот этилового спирта, алкогольной и спиртосодержащей продукции;</w:t>
      </w:r>
    </w:p>
    <w:p>
      <w:pPr>
        <w:pStyle w:val="Style11"/>
        <w:rPr/>
      </w:pPr>
      <w:bookmarkStart w:id="8" w:name="anchor1014"/>
      <w:bookmarkEnd w:id="8"/>
      <w:r>
        <w:rPr/>
        <w:t>4) полное и (или) сокращенное (при наличии) наименования;</w:t>
      </w:r>
    </w:p>
    <w:p>
      <w:pPr>
        <w:pStyle w:val="Style11"/>
        <w:rPr/>
      </w:pPr>
      <w:bookmarkStart w:id="9" w:name="anchor1015"/>
      <w:bookmarkEnd w:id="9"/>
      <w:r>
        <w:rPr/>
        <w:t>5) фамилию, имя и отчество (при наличии);</w:t>
      </w:r>
    </w:p>
    <w:p>
      <w:pPr>
        <w:pStyle w:val="Style11"/>
        <w:rPr/>
      </w:pPr>
      <w:bookmarkStart w:id="10" w:name="anchor1016"/>
      <w:bookmarkEnd w:id="10"/>
      <w:r>
        <w:rPr/>
        <w:t>6) идентификационный номер налогоплательщика;</w:t>
      </w:r>
    </w:p>
    <w:p>
      <w:pPr>
        <w:pStyle w:val="Style11"/>
        <w:rPr/>
      </w:pPr>
      <w:bookmarkStart w:id="11" w:name="anchor1017"/>
      <w:bookmarkEnd w:id="11"/>
      <w:r>
        <w:rPr/>
        <w:t>7) код причины постановки на учет;</w:t>
      </w:r>
    </w:p>
    <w:p>
      <w:pPr>
        <w:pStyle w:val="Style11"/>
        <w:rPr/>
      </w:pPr>
      <w:bookmarkStart w:id="12" w:name="anchor1018"/>
      <w:bookmarkEnd w:id="12"/>
      <w:r>
        <w:rPr/>
        <w:t>8) адрес в пределах места нахождения;</w:t>
      </w:r>
    </w:p>
    <w:p>
      <w:pPr>
        <w:pStyle w:val="Style11"/>
        <w:rPr/>
      </w:pPr>
      <w:bookmarkStart w:id="13" w:name="anchor1019"/>
      <w:bookmarkEnd w:id="13"/>
      <w:r>
        <w:rPr/>
        <w:t>9) адрес регистрации по месту жительства;</w:t>
      </w:r>
    </w:p>
    <w:p>
      <w:pPr>
        <w:pStyle w:val="Style11"/>
        <w:rPr/>
      </w:pPr>
      <w:bookmarkStart w:id="14" w:name="anchor10110"/>
      <w:bookmarkEnd w:id="14"/>
      <w:r>
        <w:rPr/>
        <w:t>10) места осуществления лицензируемой деятельности, в том числе места нахождения обособленных подразделений (включая место, по которому зарегистрировано транспортное средство, указанное при получении лицензии на перевозки этилового спирта и нефасованной спиртосодержащей продукции с содержанием этилового спирта более 25 процентов объема готовой продукции, перечень (порядковые номера) гостиничных номеров, указанных при получении лицензии на розничную продажу алкогольной продукции при оказании услуг общественного питания через мини-бары, находящиеся в гостиничном номере);</w:t>
      </w:r>
    </w:p>
    <w:p>
      <w:pPr>
        <w:pStyle w:val="Style11"/>
        <w:rPr/>
      </w:pPr>
      <w:bookmarkStart w:id="15" w:name="anchor10111"/>
      <w:bookmarkEnd w:id="15"/>
      <w:r>
        <w:rPr/>
        <w:t>11) вид, марку, модель, государственный регистрационный номер транспортного средства, указанного при получении лицензии на перевозки этилового спирта и нефасованной спиртосодержащей продукции с содержанием этилового спирта более 25 процентов объема готовой продукции;</w:t>
      </w:r>
    </w:p>
    <w:p>
      <w:pPr>
        <w:pStyle w:val="Style11"/>
        <w:rPr/>
      </w:pPr>
      <w:bookmarkStart w:id="16" w:name="anchor10112"/>
      <w:bookmarkEnd w:id="16"/>
      <w:r>
        <w:rPr/>
        <w:t>12) адрес электронной почты, по которому Федеральная служба по контролю за алкогольным и табачным рынками, исполнительный орган субъекта Российской Федерации и орган местного самоуправления, уполномоченный на оказание государственной услуги по лицензированию розничной продажи алкогольной продукции и (или) розничной продажи алкогольной продукции при оказании услуг общественного питания (далее - лицензирующий орган субъекта Российской Федерации), осуществляют переписку, направляют решения, извещения, уведомления с использованием усиленной квалифицированной электронной подписи в порядке, установленном Федеральным законом от 6 апреля 2011 г. № 63-ФЗ "Об электронной подписи"</w:t>
      </w:r>
      <w:r>
        <w:rPr>
          <w:vertAlign w:val="superscript"/>
        </w:rPr>
        <w:t> 1</w:t>
      </w:r>
      <w:r>
        <w:rPr/>
        <w:t>;</w:t>
      </w:r>
    </w:p>
    <w:p>
      <w:pPr>
        <w:pStyle w:val="Style11"/>
        <w:rPr/>
      </w:pPr>
      <w:bookmarkStart w:id="17" w:name="anchor10113"/>
      <w:bookmarkEnd w:id="17"/>
      <w:r>
        <w:rPr/>
        <w:t>13) лицензируемый вид деятельности в соответствии со статьей 18 Федерального закона № 171-ФЗ;</w:t>
      </w:r>
    </w:p>
    <w:p>
      <w:pPr>
        <w:pStyle w:val="Style11"/>
        <w:rPr/>
      </w:pPr>
      <w:bookmarkStart w:id="18" w:name="anchor10114"/>
      <w:bookmarkEnd w:id="18"/>
      <w:r>
        <w:rPr/>
        <w:t>14) вид продукции в соответствии со статьей 2 Федерального закона № 171-ФЗ;</w:t>
      </w:r>
    </w:p>
    <w:p>
      <w:pPr>
        <w:pStyle w:val="Style11"/>
        <w:rPr/>
      </w:pPr>
      <w:bookmarkStart w:id="19" w:name="anchor10115"/>
      <w:bookmarkEnd w:id="19"/>
      <w:r>
        <w:rPr/>
        <w:t>15) производственную мощность основного технологического оборудования для производства этилового спирта или алкогольной продукции с использованием этилового спирта в разрезе видов продукции;</w:t>
      </w:r>
    </w:p>
    <w:p>
      <w:pPr>
        <w:pStyle w:val="Style11"/>
        <w:rPr/>
      </w:pPr>
      <w:bookmarkStart w:id="20" w:name="anchor10116"/>
      <w:bookmarkEnd w:id="20"/>
      <w:r>
        <w:rPr/>
        <w:t>16) наименование органа, выдавшего лицензию на производство и оборот этилового спирта, алкогольной и спиртосодержащей продукции;</w:t>
      </w:r>
    </w:p>
    <w:p>
      <w:pPr>
        <w:pStyle w:val="Style11"/>
        <w:rPr/>
      </w:pPr>
      <w:bookmarkStart w:id="21" w:name="anchor10117"/>
      <w:bookmarkEnd w:id="21"/>
      <w:r>
        <w:rPr/>
        <w:t>17) дату окончания срока действия лицензии на производство и оборот этилового спирта, алкогольной и спиртосодержащей продукции;</w:t>
      </w:r>
    </w:p>
    <w:p>
      <w:pPr>
        <w:pStyle w:val="Style11"/>
        <w:rPr/>
      </w:pPr>
      <w:bookmarkStart w:id="22" w:name="anchor10118"/>
      <w:bookmarkEnd w:id="22"/>
      <w:r>
        <w:rPr/>
        <w:t>18) дату включения места осуществления лицензируемой деятельности в лицензию на производство и оборот этилового спирта, алкогольной и спиртосодержащей продукции;</w:t>
      </w:r>
    </w:p>
    <w:p>
      <w:pPr>
        <w:pStyle w:val="Style11"/>
        <w:rPr/>
      </w:pPr>
      <w:bookmarkStart w:id="23" w:name="anchor10119"/>
      <w:bookmarkEnd w:id="23"/>
      <w:r>
        <w:rPr/>
        <w:t>19) дату исключения места осуществления лицензируемой деятельности из лицензии на производство и оборот этилового спирта, алкогольной и спиртосодержащей продукции;</w:t>
      </w:r>
    </w:p>
    <w:p>
      <w:pPr>
        <w:pStyle w:val="Style11"/>
        <w:rPr/>
      </w:pPr>
      <w:bookmarkStart w:id="24" w:name="anchor10120"/>
      <w:bookmarkEnd w:id="24"/>
      <w:r>
        <w:rPr/>
        <w:t>20) сведения о действии лицензии на производство и оборот этилового спирта, алкогольной и спиртосодержащей продукции (действующая, приостановлена, аннулирована, аннулирована в отношении отдельного места осуществления лицензируемой деятельности (в отношении лицензии на розничную продажу алкогольной продукции, розничную продажу алкогольной продукции при оказании услуг общественного питания), переоформлена в связи с добавлением места осуществления лицензируемой деятельности, переоформлена в связи с исключением места осуществления лицензируемой деятельности, переоформлена по основаниям, не связанным с добавлением или исключением места осуществления лицензируемой деятельности, действие прекращено, срок действия истек);</w:t>
      </w:r>
    </w:p>
    <w:p>
      <w:pPr>
        <w:pStyle w:val="Style11"/>
        <w:rPr/>
      </w:pPr>
      <w:bookmarkStart w:id="25" w:name="anchor10121"/>
      <w:bookmarkEnd w:id="25"/>
      <w:r>
        <w:rPr/>
        <w:t>21) дату изменения сведений о лицензии на производство и оборот этилового спирта, алкогольной и спиртосодержащей продукции, соответствующую дате возникновения оснований, указанных в подпунктах 2 - 12 пункта 2 настоящего Порядка;</w:t>
      </w:r>
    </w:p>
    <w:p>
      <w:pPr>
        <w:pStyle w:val="Style11"/>
        <w:rPr/>
      </w:pPr>
      <w:bookmarkStart w:id="26" w:name="anchor10122"/>
      <w:bookmarkEnd w:id="26"/>
      <w:r>
        <w:rPr/>
        <w:t>22) основание для внесения изменений в сведения, содержащиеся в государственном сводном реестре лицензий, в соответствии с подпунктами 2 - 12 пункта 2 настоящего Порядка;</w:t>
      </w:r>
    </w:p>
    <w:p>
      <w:pPr>
        <w:pStyle w:val="Style11"/>
        <w:rPr/>
      </w:pPr>
      <w:bookmarkStart w:id="27" w:name="anchor10123"/>
      <w:bookmarkEnd w:id="27"/>
      <w:r>
        <w:rPr/>
        <w:t>23) информацию об ограниченном действии лицензии на производство и оборот этилового спирта, алкогольной и спиртосодержащей продукции, предусматривающем право на завершение полного цикла производства дистиллятов или право на завершение выдержки винодельческой продукции, а также право на хранение и поставки указанных дистиллятов и (или) винодельческой продукции:</w:t>
      </w:r>
    </w:p>
    <w:p>
      <w:pPr>
        <w:pStyle w:val="Style11"/>
        <w:rPr/>
      </w:pPr>
      <w:r>
        <w:rPr/>
        <w:t>срок действия временного разрешения, предоставляющего право на завершение полного цикла производства дистиллятов или право на завершение выдержки винодельческой продукции, а также право на хранение и поставку указанных дистиллятов и (или) винодельческой продукции (далее - временное разрешение);</w:t>
      </w:r>
    </w:p>
    <w:p>
      <w:pPr>
        <w:pStyle w:val="Style11"/>
        <w:rPr/>
      </w:pPr>
      <w:r>
        <w:rPr/>
        <w:t>адрес в пределах места нахождения;</w:t>
      </w:r>
    </w:p>
    <w:p>
      <w:pPr>
        <w:pStyle w:val="Style11"/>
        <w:rPr/>
      </w:pPr>
      <w:r>
        <w:rPr/>
        <w:t>адрес регистрации по месту жительства;</w:t>
      </w:r>
    </w:p>
    <w:p>
      <w:pPr>
        <w:pStyle w:val="Style11"/>
        <w:rPr/>
      </w:pPr>
      <w:r>
        <w:rPr/>
        <w:t>место осуществления деятельности;</w:t>
      </w:r>
    </w:p>
    <w:p>
      <w:pPr>
        <w:pStyle w:val="Style11"/>
        <w:rPr/>
      </w:pPr>
      <w:r>
        <w:rPr/>
        <w:t>вид винодельческой продукции, находящейся на выдержке, в соответствии со статьей 2 Федерального закона № 171-ФЗ;</w:t>
      </w:r>
    </w:p>
    <w:p>
      <w:pPr>
        <w:pStyle w:val="Style11"/>
        <w:rPr/>
      </w:pPr>
      <w:r>
        <w:rPr/>
        <w:t>объем винодельческой продукции, находящейся на выдержке;</w:t>
      </w:r>
    </w:p>
    <w:p>
      <w:pPr>
        <w:pStyle w:val="Style11"/>
        <w:rPr/>
      </w:pPr>
      <w:r>
        <w:rPr/>
        <w:t>вид дистиллятов, полный цикл производства которых не завершен, в соответствии со статьей 2 Федерального закона № 171-ФЗ;</w:t>
      </w:r>
    </w:p>
    <w:p>
      <w:pPr>
        <w:pStyle w:val="Style11"/>
        <w:rPr/>
      </w:pPr>
      <w:r>
        <w:rPr/>
        <w:t>объем дистиллятов, полный цикл производства которых не завершен;</w:t>
      </w:r>
    </w:p>
    <w:p>
      <w:pPr>
        <w:pStyle w:val="Style11"/>
        <w:rPr/>
      </w:pPr>
      <w:bookmarkStart w:id="28" w:name="anchor10124"/>
      <w:bookmarkEnd w:id="28"/>
      <w:r>
        <w:rPr/>
        <w:t>24) регистрационные данные вагона-ресторана (вагона-кафе, вагона-буфета, вагона-бара), водного судна;</w:t>
      </w:r>
    </w:p>
    <w:p>
      <w:pPr>
        <w:pStyle w:val="Style11"/>
        <w:rPr/>
      </w:pPr>
      <w:bookmarkStart w:id="29" w:name="anchor10125"/>
      <w:bookmarkEnd w:id="29"/>
      <w:r>
        <w:rPr/>
        <w:t>25) полное и (или) сокращенное наименования юридического лица или фамилию, имя, отчество (при наличии) индивидуального предпринимателя, являющегося заказчиком выездного обслуживания, указанного в уведомлении о заказчике, дате, времени и месте осуществления розничной продажи алкогольной продукции при оказании услуг общественного питания в условиях выездного обслуживания (далее - уведомление о выездном обслуживании) в соответствии с Правилами представления уведомления о заказчике, дате, времени и месте осуществления розничной продажи алкогольной продукции при оказании услуг общественного питания в условиях выездного обслуживания организациями, имеющими лицензию на розничную продажу алкогольной продукции при оказании услуг общественного питания, утвержденными постановлением Правительства Российской Федерации от 23 декабря 2020 г. № 2232 (далее - Правила представления уведомления о выездном обслуживании);</w:t>
      </w:r>
    </w:p>
    <w:p>
      <w:pPr>
        <w:pStyle w:val="Style11"/>
        <w:rPr/>
      </w:pPr>
      <w:bookmarkStart w:id="30" w:name="anchor10126"/>
      <w:bookmarkEnd w:id="30"/>
      <w:r>
        <w:rPr/>
        <w:t>26) дату, время и место осуществления розничной продажи алкогольной продукции при оказании услуг общественного питания в условиях выездного обслуживания;</w:t>
      </w:r>
    </w:p>
    <w:p>
      <w:pPr>
        <w:pStyle w:val="Style11"/>
        <w:rPr/>
      </w:pPr>
      <w:bookmarkStart w:id="31" w:name="anchor10127"/>
      <w:bookmarkEnd w:id="31"/>
      <w:r>
        <w:rPr/>
        <w:t>27) уточненные в соответствии с пунктом 4 Правил представления уведомления о выездном обслуживании сведения о заказчике, дате, времени и месте осуществления розничной продажи алкогольной продукции при оказании услуг общественного питания в условиях выездного обслуживания;</w:t>
      </w:r>
    </w:p>
    <w:p>
      <w:pPr>
        <w:pStyle w:val="Style11"/>
        <w:rPr/>
      </w:pPr>
      <w:bookmarkStart w:id="32" w:name="anchor10128"/>
      <w:bookmarkEnd w:id="32"/>
      <w:r>
        <w:rPr/>
        <w:t>28) тип объекта, в котором осуществляется лицензируемый вид деятельности;</w:t>
      </w:r>
    </w:p>
    <w:p>
      <w:pPr>
        <w:pStyle w:val="Style11"/>
        <w:rPr/>
      </w:pPr>
      <w:bookmarkStart w:id="33" w:name="anchor10129"/>
      <w:bookmarkEnd w:id="33"/>
      <w:r>
        <w:rPr/>
        <w:t>29) сведения о том, что лицензия на розничную продажу алкогольной продукции действует в отношении алкогольной продукции с содержанием этилового спирта не более 16,5 процентов готовой продукции, или лицензия на осуществление деятельности по хранению алкогольной продукции или по закупке, хранению и поставкам алкогольной продукции действует в отношении алкогольной продукции с содержанием этилового спирта не более 15 процентов объема готовой продукции, или лицензия на розничную продажу алкогольной продукции выдана организации, осуществляющей деятельность по обороту алкогольной продукции, помещаемой под таможенную процедуру беспошлинной торговли;</w:t>
      </w:r>
    </w:p>
    <w:p>
      <w:pPr>
        <w:pStyle w:val="Style11"/>
        <w:rPr/>
      </w:pPr>
      <w:bookmarkStart w:id="34" w:name="anchor10130"/>
      <w:bookmarkEnd w:id="34"/>
      <w:r>
        <w:rPr/>
        <w:t>30) сведения о значениях координат торгового объекта или объекта общественного питания (значениях широты и долготы в градусах в виде десятичной дроби на основе сведений содержащихся в федеральной государственной географической информационной системе "Единая цифровая платформа "Национальная система пространственных данных"</w:t>
      </w:r>
      <w:r>
        <w:rPr>
          <w:vertAlign w:val="superscript"/>
        </w:rPr>
        <w:t> 2</w:t>
      </w:r>
      <w:r>
        <w:rPr/>
        <w:t>).</w:t>
      </w:r>
    </w:p>
    <w:p>
      <w:pPr>
        <w:pStyle w:val="Style11"/>
        <w:rPr/>
      </w:pPr>
      <w:bookmarkStart w:id="35" w:name="anchor1002"/>
      <w:bookmarkEnd w:id="35"/>
      <w:r>
        <w:rPr/>
        <w:t>2. Основанием для внесения изменений в информацию, содержащуюся в государственном сводном реестре лицензий, является:</w:t>
      </w:r>
    </w:p>
    <w:p>
      <w:pPr>
        <w:pStyle w:val="Style11"/>
        <w:rPr/>
      </w:pPr>
      <w:bookmarkStart w:id="36" w:name="anchor1021"/>
      <w:bookmarkEnd w:id="36"/>
      <w:r>
        <w:rPr/>
        <w:t>1) принятие Федеральной службой по контролю за алкогольным и табачным рынками или лицензирующим органом субъекта Российской Федерации решения о выдаче лицензии на осуществление видов деятельности, определенных пунктом 2 статьи 18 Федерального закона № 171-ФЗ;</w:t>
      </w:r>
    </w:p>
    <w:p>
      <w:pPr>
        <w:pStyle w:val="Style11"/>
        <w:rPr/>
      </w:pPr>
      <w:bookmarkStart w:id="37" w:name="anchor1022"/>
      <w:bookmarkEnd w:id="37"/>
      <w:r>
        <w:rPr/>
        <w:t>2) принятие Федеральной службой по контролю за алкогольным и табачным рынками или лицензирующим органом субъекта Российской Федерации решения о переоформлении лицензии на производство и оборот этилового спирта, алкогольной и спиртосодержащей продукции</w:t>
      </w:r>
      <w:r>
        <w:rPr>
          <w:vertAlign w:val="superscript"/>
        </w:rPr>
        <w:t> 3</w:t>
      </w:r>
      <w:r>
        <w:rPr/>
        <w:t>;</w:t>
      </w:r>
    </w:p>
    <w:p>
      <w:pPr>
        <w:pStyle w:val="Style11"/>
        <w:rPr/>
      </w:pPr>
      <w:bookmarkStart w:id="38" w:name="anchor1023"/>
      <w:bookmarkEnd w:id="38"/>
      <w:r>
        <w:rPr/>
        <w:t>3) изменение наименования, фамилии, имени, отчества (при наличии), либо изменение адреса в пределах места нахождения без изменения кода причины постановки на учет обособленного подразделения, либо изменение адреса регистрации по месту жительства;</w:t>
      </w:r>
    </w:p>
    <w:p>
      <w:pPr>
        <w:pStyle w:val="Style11"/>
        <w:rPr/>
      </w:pPr>
      <w:bookmarkStart w:id="39" w:name="anchor1024"/>
      <w:bookmarkEnd w:id="39"/>
      <w:r>
        <w:rPr/>
        <w:t>4) принятие Федеральной службой по контролю за алкогольным и табачным рынками или лицензирующим органом субъекта Российской Федерации решения о продлении срока действия лицензии на производство и оборот этилового спирта, алкогольной и спиртосодержащей продукции;</w:t>
      </w:r>
    </w:p>
    <w:p>
      <w:pPr>
        <w:pStyle w:val="Style11"/>
        <w:rPr/>
      </w:pPr>
      <w:bookmarkStart w:id="40" w:name="anchor1025"/>
      <w:bookmarkEnd w:id="40"/>
      <w:r>
        <w:rPr/>
        <w:t>5) принятие Федеральной службой по контролю за алкогольным и табачным рынками или лицензирующим органом субъекта Российской Федерации решения о приостановлении действия лицензии на производство и оборот этилового спирта, алкогольной и спиртосодержащей продукции;</w:t>
      </w:r>
    </w:p>
    <w:p>
      <w:pPr>
        <w:pStyle w:val="Style11"/>
        <w:rPr/>
      </w:pPr>
      <w:bookmarkStart w:id="41" w:name="anchor1026"/>
      <w:bookmarkEnd w:id="41"/>
      <w:r>
        <w:rPr/>
        <w:t>6) принятие Федеральной службой по контролю за алкогольным и табачным рынками или лицензирующим органом субъекта Российской Федерации решения о возобновлении действия лицензии на производство и оборот этилового спирта, алкогольной и спиртосодержащей продукции;</w:t>
      </w:r>
    </w:p>
    <w:p>
      <w:pPr>
        <w:pStyle w:val="Style11"/>
        <w:rPr/>
      </w:pPr>
      <w:bookmarkStart w:id="42" w:name="anchor1027"/>
      <w:bookmarkEnd w:id="42"/>
      <w:r>
        <w:rPr/>
        <w:t>7) принятие Федеральной службой по контролю за алкогольным и табачным рынками или лицензирующим органом субъекта Российской Федерации решения о досрочном прекращении действия лицензии на производство и оборот этилового спирта, алкогольной и спиртосодержащей продукции на основании заявления;</w:t>
      </w:r>
    </w:p>
    <w:p>
      <w:pPr>
        <w:pStyle w:val="Style11"/>
        <w:rPr/>
      </w:pPr>
      <w:bookmarkStart w:id="43" w:name="anchor1028"/>
      <w:bookmarkEnd w:id="43"/>
      <w:r>
        <w:rPr/>
        <w:t>8) вступившее в законную силу решение Федеральной службы по контролю за алкогольным и табачным рынками об аннулировании лицензии на производство и оборот этилового спирта, алкогольной и спиртосодержащей продукции;</w:t>
      </w:r>
    </w:p>
    <w:p>
      <w:pPr>
        <w:pStyle w:val="Style11"/>
        <w:rPr/>
      </w:pPr>
      <w:bookmarkStart w:id="44" w:name="anchor1029"/>
      <w:bookmarkEnd w:id="44"/>
      <w:r>
        <w:rPr/>
        <w:t>9) прекращение действия лицензии на производство и оборот этилового спирта, алкогольной и спиртосодержащей продукции по истечении срока ее действия;</w:t>
      </w:r>
    </w:p>
    <w:p>
      <w:pPr>
        <w:pStyle w:val="Style11"/>
        <w:rPr/>
      </w:pPr>
      <w:bookmarkStart w:id="45" w:name="anchor10210"/>
      <w:bookmarkEnd w:id="45"/>
      <w:r>
        <w:rPr/>
        <w:t>10) прекращение действия лицензии на производство и оборот этилового спирта, алкогольной и спиртосодержащей продукции (в случае ликвидации либо прекращения деятельности);</w:t>
      </w:r>
    </w:p>
    <w:p>
      <w:pPr>
        <w:pStyle w:val="Style11"/>
        <w:rPr/>
      </w:pPr>
      <w:bookmarkStart w:id="46" w:name="anchor10211"/>
      <w:bookmarkEnd w:id="46"/>
      <w:r>
        <w:rPr/>
        <w:t>11) вступившее в законную силу решение суда об аннулировании лицензии на производство и оборот этилового спирта, алкогольной и спиртосодержащей продукции, решение суда об оспаривании решения Федеральной службы по контролю за алкогольным и табачным рынками об аннулировании лицензии на производство и оборот этилового спирта, алкогольной и спиртосодержащей продукции, решение суда об оспаривании решения Федеральной службы по контролю за алкогольным и табачным рынками или лицензирующего органа субъекта Российской Федерации о приостановлении действия лицензии на производство и оборот этилового спирта, алкогольной и спиртосодержащей продукции;</w:t>
      </w:r>
    </w:p>
    <w:p>
      <w:pPr>
        <w:pStyle w:val="Style11"/>
        <w:rPr/>
      </w:pPr>
      <w:bookmarkStart w:id="47" w:name="anchor10212"/>
      <w:bookmarkEnd w:id="47"/>
      <w:r>
        <w:rPr/>
        <w:t>12) определение суда о принятии обеспечительных мер в виде приостановления действия решения Федеральной службы по контролю за алкогольным и табачным рынками или решения лицензирующего органа субъекта Российской Федерации о приостановлении действия лицензии на производство и оборот этилового спирта, алкогольной и спиртосодержащей продукции;</w:t>
      </w:r>
    </w:p>
    <w:p>
      <w:pPr>
        <w:pStyle w:val="Style11"/>
        <w:rPr/>
      </w:pPr>
      <w:bookmarkStart w:id="48" w:name="anchor10213"/>
      <w:bookmarkEnd w:id="48"/>
      <w:r>
        <w:rPr/>
        <w:t>13) выдача Федеральной службой по контролю за алкогольным и табачным рынками временного разрешения;</w:t>
      </w:r>
    </w:p>
    <w:p>
      <w:pPr>
        <w:pStyle w:val="Style11"/>
        <w:rPr/>
      </w:pPr>
      <w:bookmarkStart w:id="49" w:name="anchor10214"/>
      <w:bookmarkEnd w:id="49"/>
      <w:r>
        <w:rPr/>
        <w:t>14) представление в соответствии с пунктом 3 Правил представления уведомления о выездном обслуживании организацией, имеющей лицензию на розничную продажу алкогольной продукции при оказании услуг общественного питания, в лицензирующий орган субъекта Российской Федерации уведомления о выездном обслуживании;</w:t>
      </w:r>
    </w:p>
    <w:p>
      <w:pPr>
        <w:pStyle w:val="Style11"/>
        <w:rPr/>
      </w:pPr>
      <w:bookmarkStart w:id="50" w:name="anchor10215"/>
      <w:bookmarkEnd w:id="50"/>
      <w:r>
        <w:rPr/>
        <w:t>15) представление в соответствии с пунктом 4 Правил представления уведомления о выездном обслуживании организацией, имеющей лицензию на розничную продажу алкогольной продукции при оказании услуг общественного питания, в лицензирующий орган субъекта Российской Федерации уведомления, содержащего уточненные сведения о заказчике, дате, времени и месте осуществления розничной продажи алкогольной продукции при оказании услуг общественного питания в условиях выездного обслуживания, указанные в ранее представленном уведомлении о выездном обслуживании;</w:t>
      </w:r>
    </w:p>
    <w:p>
      <w:pPr>
        <w:pStyle w:val="Style11"/>
        <w:rPr/>
      </w:pPr>
      <w:bookmarkStart w:id="51" w:name="anchor10216"/>
      <w:bookmarkEnd w:id="51"/>
      <w:r>
        <w:rPr/>
        <w:t>16) представление в соответствии с пунктом 4 Правил представления уведомления о выездном обслуживании организацией, имеющей лицензию на розничную продажу алкогольной продукции при оказании услуг общественного питания, в лицензирующий орган субъекта Российской Федерации уведомления об отмене осуществления розничной продажи алкогольной продукции при оказании услуг общественного питания в условиях выездного обслуживания.</w:t>
      </w:r>
    </w:p>
    <w:p>
      <w:pPr>
        <w:pStyle w:val="Style11"/>
        <w:rPr/>
      </w:pPr>
      <w:bookmarkStart w:id="52" w:name="anchor1003"/>
      <w:bookmarkEnd w:id="52"/>
      <w:r>
        <w:rPr/>
        <w:t>3. Лицензирующий орган субъекта Российской Федерации не позднее 1 рабочего дня с даты выдачи лицензии на розничную продажу алкогольной продукции или лицензии на розничную продажу алкогольной продукции при оказании услуг общественного питания или изменения сведений о лицензии на розничную продажу алкогольной продукции или лицензии на розничную продажу алкогольной продукции при оказании услуг общественного питания вносит в государственный сводный реестр лицензий сведения, предусмотренные подпунктами 1, 3 - 10, 12-14, 16 - 22, 24, 28 - 30 пункта 1 настоящего Порядка.</w:t>
      </w:r>
    </w:p>
    <w:p>
      <w:pPr>
        <w:pStyle w:val="Style11"/>
        <w:rPr/>
      </w:pPr>
      <w:r>
        <w:rPr/>
        <w:t>Лицензирующий орган субъекта Российской Федерации не позднее 1 рабочего дня с даты получения уведомления о выездном обслуживании вносит в государственный сводный реестр лицензий сведения, предусмотренные подпунктами 25 и 26 пункта 1 настоящего Порядка.</w:t>
      </w:r>
    </w:p>
    <w:p>
      <w:pPr>
        <w:pStyle w:val="Style11"/>
        <w:rPr/>
      </w:pPr>
      <w:r>
        <w:rPr/>
        <w:t>Лицензирующий орган субъекта Российской Федерации не позднее 1 рабочего дня с даты получения уведомления, содержащего уточненные сведения о заказчике, дате, времени и месте осуществления розничной продажи алкогольной продукции при оказании услуг общественного питания в условиях выездного обслуживания, вносит в государственный сводный реестр лицензий сведения, предусмотренные подпунктом 27 пункта 1 настоящего Порядка.</w:t>
      </w:r>
    </w:p>
    <w:p>
      <w:pPr>
        <w:pStyle w:val="Style11"/>
        <w:rPr/>
      </w:pPr>
      <w:r>
        <w:rPr/>
        <w:t>Лицензирующий орган субъекта Российской Федерации не позднее 1 рабочего дня с даты получения уведомления об отмене осуществления розничной продажи алкогольной продукции при оказании услуг общественного питания в условиях выездного обслуживания вносит в государственный сводный реестр лицензий сведения, предусмотренные подпунктами 25 - 27 пункта 1 настоящего Порядка, с указанием информации об отмене осуществления розничной продажи алкогольной продукции при оказании услуг общественного питания в условиях выездного обслуживания.</w:t>
      </w:r>
    </w:p>
    <w:p>
      <w:pPr>
        <w:pStyle w:val="Style11"/>
        <w:rPr/>
      </w:pPr>
      <w:r>
        <w:rPr/>
        <w:t>Лицензирующий орган субъекта Российской Федерации не позднее 1 рабочего дня с даты установления факта прекращения действия лицензии на осуществление розничной продажи алкогольной продукции, розничной продажи алкогольной продукции при оказании услуг общественного питания в случае ликвидации организации вносит в государственный сводный реестр лицензий сведения, предусмотренные подпунктом 20 пункта 1 настоящего Порядка.</w:t>
      </w:r>
    </w:p>
    <w:p>
      <w:pPr>
        <w:pStyle w:val="Style11"/>
        <w:rPr/>
      </w:pPr>
      <w:r>
        <w:rPr/>
        <w:t>Лицензирующий орган субъекта Российской Федерации не позднее 1 рабочего дня с даты поступления определения суда о принятии обеспечительных мер, указанных в подпункте 12 пункта 2 настоящего Порядка, вносит в государственный сводный реестр лицензий сведения, предусмотренные подпунктом 21 пункта 1 настоящего Порядка.</w:t>
      </w:r>
    </w:p>
    <w:p>
      <w:pPr>
        <w:pStyle w:val="Style11"/>
        <w:rPr/>
      </w:pPr>
      <w:r>
        <w:rPr/>
        <w:t>Лицензирующий орган субъекта Российской Федерации не позднее 1 рабочего дня с даты вступления в законную силу решения суда об аннулировании лицензии на осуществление розничной продажи алкогольной продукции, розничной продажи алкогольной продукции при оказании услуг общественного питания, оспаривании решения лицензирующего органа субъекта Российской Федерации о приостановлении действия лицензии на осуществление розничной продажи алкогольной продукции, розничной продажи алкогольной продукции при оказании услуг общественного питания, указанных в подпункте 11 пункта 2 настоящего Порядка, вносит в государственный сводный реестр лицензий сведения, предусмотренные подпунктом 20 пункта 1 настоящего Порядка.</w:t>
      </w:r>
    </w:p>
    <w:p>
      <w:pPr>
        <w:pStyle w:val="Style11"/>
        <w:rPr/>
      </w:pPr>
      <w:r>
        <w:rPr/>
        <w:t>Сведения, указанные в настоящем пункте, вносятся в государственный сводный реестр лицензий лицензирующим органом субъекта Российской Федерации посредством единой системы межведомственного электронного взаимодействия с использованием усиленной квалифицированной электронной подписи в порядке, установленном Федеральным законом от 6 апреля 2011 г. № 63-ФЗ "Об электронной подписи".</w:t>
      </w:r>
    </w:p>
    <w:p>
      <w:pPr>
        <w:pStyle w:val="Style11"/>
        <w:rPr/>
      </w:pPr>
      <w:bookmarkStart w:id="53" w:name="anchor1004"/>
      <w:bookmarkEnd w:id="53"/>
      <w:r>
        <w:rPr/>
        <w:t>4. Федеральная служба по контролю за алкогольным и табачным рынками в случае выдачи лицензии на производство и оборот этилового спирта, алкогольной и спиртосодержащей продукции (за исключением лицензий на осуществление розничной продажи алкогольной продукции, розничной продажи алкогольной продукции при оказании услуг общественного питания) или изменения сведений о такой лицензии вносит в государственный сводный реестр лицензий сведения, предусмотренные подпунктами 1, 3 - 20 пункта 1 настоящего Порядка.</w:t>
      </w:r>
    </w:p>
    <w:p>
      <w:pPr>
        <w:pStyle w:val="Style11"/>
        <w:rPr/>
      </w:pPr>
      <w:r>
        <w:rPr/>
        <w:t>Сведения в государственный сводный реестр лицензий вносятся Федеральной службой по контролю за алкогольным и табачным рынками не позднее 1 рабочего дня, следующего за днем:</w:t>
      </w:r>
    </w:p>
    <w:p>
      <w:pPr>
        <w:pStyle w:val="Style11"/>
        <w:rPr/>
      </w:pPr>
      <w:bookmarkStart w:id="54" w:name="anchor1041"/>
      <w:bookmarkEnd w:id="54"/>
      <w:r>
        <w:rPr/>
        <w:t>1) возникновения обстоятельств, предусмотренных подпунктами 1 - 9, 11, 13 пункта 2 настоящего Порядка, в отношении лицензий на производство и оборот этилового спирта, алкогольной и спиртосодержащей продукции (за исключением лицензий на осуществление розничной продажи алкогольной продукции, розничной продажи алкогольной продукции при оказании услуг общественного питания);</w:t>
      </w:r>
    </w:p>
    <w:p>
      <w:pPr>
        <w:pStyle w:val="Style11"/>
        <w:rPr/>
      </w:pPr>
      <w:bookmarkStart w:id="55" w:name="anchor1042"/>
      <w:bookmarkEnd w:id="55"/>
      <w:r>
        <w:rPr/>
        <w:t>2) установления Федеральной службой по контролю за алкогольным и табачным рынками факта прекращения действия лицензии на производство и оборот этилового спирта, алкогольной и спиртосодержащей продукции (за исключением лицензии на розничную продажу алкогольной продукции, розничной продажи алкогольной продукции при оказании услуг общественного питания) в случае ликвидации либо прекращения деятельности</w:t>
      </w:r>
      <w:r>
        <w:rPr>
          <w:vertAlign w:val="superscript"/>
        </w:rPr>
        <w:t> 4</w:t>
      </w:r>
      <w:r>
        <w:rPr/>
        <w:t>;</w:t>
      </w:r>
    </w:p>
    <w:p>
      <w:pPr>
        <w:pStyle w:val="Style11"/>
        <w:rPr/>
      </w:pPr>
      <w:bookmarkStart w:id="56" w:name="anchor1043"/>
      <w:bookmarkEnd w:id="56"/>
      <w:r>
        <w:rPr/>
        <w:t>3) поступления в Федеральную службу по контролю за алкогольным и табачным рынками определения суда в связи с принятием обеспечительных мер, указанных в подпункте 12 пункта 2 настоящего Порядка, а также решения об аннулировании лицензии на производство и оборот этилового спирта, алкогольной и спиртосодержащей продукции и отказе в ее аннулировании, вступивших в законную силу.</w:t>
      </w:r>
    </w:p>
    <w:p>
      <w:pPr>
        <w:pStyle w:val="Style11"/>
        <w:rPr/>
      </w:pPr>
      <w:r>
        <w:rPr/>
      </w:r>
    </w:p>
    <w:p>
      <w:pPr>
        <w:pStyle w:val="OEM"/>
        <w:rPr>
          <w:rFonts w:ascii="Courier New" w:hAnsi="Courier New"/>
          <w:sz w:val="22"/>
        </w:rPr>
      </w:pPr>
      <w:r>
        <w:rPr>
          <w:rFonts w:ascii="Courier New" w:hAnsi="Courier New"/>
          <w:sz w:val="22"/>
        </w:rPr>
        <w:t>──────────────────────────────</w:t>
      </w:r>
    </w:p>
    <w:p>
      <w:pPr>
        <w:pStyle w:val="FootnoteText"/>
        <w:rPr/>
      </w:pPr>
      <w:bookmarkStart w:id="57" w:name="anchor1111"/>
      <w:bookmarkEnd w:id="57"/>
      <w:r>
        <w:rPr>
          <w:vertAlign w:val="superscript"/>
        </w:rPr>
        <w:t>1</w:t>
      </w:r>
      <w:r>
        <w:rPr/>
        <w:t xml:space="preserve"> Абзац четвертый подпункта 1 пункта 1, абзац шестой подпункта 1 пункта 3, абзац четвертый пункта 6, абзац четвертый пункта 7, абзац четвертый подпункта 1 пункта 8, абзац четвертый подпункта 1 пункта 9, абзац четвертый пункта 10 статьи 19 Федерального закона от 22 ноября 1995 г.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(далее - Федеральный закон № 171-ФЗ).</w:t>
      </w:r>
    </w:p>
    <w:p>
      <w:pPr>
        <w:pStyle w:val="FootnoteText"/>
        <w:rPr/>
      </w:pPr>
      <w:bookmarkStart w:id="58" w:name="anchor2222"/>
      <w:bookmarkEnd w:id="58"/>
      <w:r>
        <w:rPr>
          <w:vertAlign w:val="superscript"/>
        </w:rPr>
        <w:t>2</w:t>
      </w:r>
      <w:r>
        <w:rPr/>
        <w:t xml:space="preserve"> Постановление Правительства Российской Федерации от 7 июня 2022 г. № 1040 "О федеральной государственной географической информационной системе "Единая цифровая платформа "Национальная система пространственных данных".</w:t>
      </w:r>
    </w:p>
    <w:p>
      <w:pPr>
        <w:pStyle w:val="FootnoteText"/>
        <w:rPr/>
      </w:pPr>
      <w:bookmarkStart w:id="59" w:name="anchor3333"/>
      <w:bookmarkEnd w:id="59"/>
      <w:r>
        <w:rPr>
          <w:vertAlign w:val="superscript"/>
        </w:rPr>
        <w:t>3</w:t>
      </w:r>
      <w:r>
        <w:rPr/>
        <w:t xml:space="preserve"> Пункт 27 статьи 19 Федерального закона № 171-ФЗ.</w:t>
      </w:r>
    </w:p>
    <w:p>
      <w:pPr>
        <w:pStyle w:val="FootnoteText"/>
        <w:rPr/>
      </w:pPr>
      <w:bookmarkStart w:id="60" w:name="anchor4444"/>
      <w:bookmarkEnd w:id="60"/>
      <w:r>
        <w:rPr>
          <w:vertAlign w:val="superscript"/>
        </w:rPr>
        <w:t>4</w:t>
      </w:r>
      <w:r>
        <w:rPr/>
        <w:t xml:space="preserve"> Абзац второй пункта 2 статьи 20 Федерального закона № 171-ФЗ.</w:t>
      </w:r>
    </w:p>
    <w:p>
      <w:pPr>
        <w:pStyle w:val="Style11"/>
        <w:rPr/>
      </w:pPr>
      <w:r>
        <w:rPr/>
      </w:r>
    </w:p>
    <w:sectPr>
      <w:footerReference w:type="default" r:id="rId2"/>
      <w:type w:val="nextPage"/>
      <w:pgSz w:w="11906" w:h="16838"/>
      <w:pgMar w:left="794" w:right="794" w:gutter="0" w:header="0" w:top="794" w:footer="794" w:bottom="107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Times New Roman">
    <w:charset w:val="cc" w:characterSet="windows-1251"/>
    <w:family w:val="auto"/>
    <w:pitch w:val="default"/>
  </w:font>
  <w:font w:name="Courier New">
    <w:charset w:val="cc" w:characterSet="windows-1251"/>
    <w:family w:val="auto"/>
    <w:pitch w:val="fixed"/>
  </w:font>
  <w:font w:name="Courier New">
    <w:charset w:val="cc" w:characterSet="windows-125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start"/>
      <w:tblInd w:w="0" w:type="dxa"/>
      <w:tblLayout w:type="fixed"/>
      <w:tblCellMar>
        <w:top w:w="0" w:type="dxa"/>
        <w:start w:w="0" w:type="dxa"/>
        <w:bottom w:w="0" w:type="dxa"/>
        <w:end w:w="0" w:type="dxa"/>
      </w:tblCellMar>
    </w:tblPr>
    <w:tblGrid>
      <w:gridCol w:w="3439"/>
      <w:gridCol w:w="3439"/>
      <w:gridCol w:w="3440"/>
    </w:tblGrid>
    <w:tr>
      <w:trPr/>
      <w:tc>
        <w:tcPr>
          <w:tcW w:w="3439" w:type="dxa"/>
          <w:tcBorders/>
        </w:tcPr>
        <w:p>
          <w:pPr>
            <w:pStyle w:val="Normal"/>
            <w:ind w:hanging="0"/>
            <w:jc w:val="start"/>
            <w:rPr>
              <w:rFonts w:ascii="Times New Roman" w:hAnsi="Times New Roman"/>
              <w:sz w:val="20"/>
            </w:rPr>
          </w:pPr>
          <w:r>
            <w:rPr>
              <w:sz w:val="20"/>
            </w:rPr>
          </w:r>
        </w:p>
      </w:tc>
      <w:tc>
        <w:tcPr>
          <w:tcW w:w="3439" w:type="dxa"/>
          <w:tcBorders/>
        </w:tcPr>
        <w:p>
          <w:pPr>
            <w:pStyle w:val="Normal"/>
            <w:ind w:hanging="0"/>
            <w:jc w:val="center"/>
            <w:rPr>
              <w:rFonts w:ascii="Times New Roman" w:hAnsi="Times New Roman"/>
              <w:sz w:val="20"/>
            </w:rPr>
          </w:pPr>
          <w:r>
            <w:rPr>
              <w:sz w:val="20"/>
            </w:rPr>
          </w:r>
        </w:p>
      </w:tc>
      <w:tc>
        <w:tcPr>
          <w:tcW w:w="3440" w:type="dxa"/>
          <w:tcBorders/>
        </w:tcPr>
        <w:p>
          <w:pPr>
            <w:pStyle w:val="Normal"/>
            <w:ind w:hanging="0"/>
            <w:jc w:val="end"/>
            <w:rPr>
              <w:rFonts w:ascii="Times New Roman" w:hAnsi="Times New Roman"/>
              <w:sz w:val="20"/>
            </w:rPr>
          </w:pPr>
          <w:r>
            <w:rPr>
              <w:sz w:val="20"/>
            </w:rPr>
            <w:fldChar w:fldCharType="begin"/>
          </w:r>
          <w:r>
            <w:rPr>
              <w:sz w:val="20"/>
            </w:rPr>
            <w:instrText xml:space="preserve"> PAGE </w:instrText>
          </w:r>
          <w:r>
            <w:rPr>
              <w:sz w:val="20"/>
            </w:rPr>
            <w:fldChar w:fldCharType="separate"/>
          </w:r>
          <w:r>
            <w:rPr>
              <w:sz w:val="20"/>
            </w:rPr>
            <w:t>6</w:t>
          </w:r>
          <w:r>
            <w:rPr>
              <w:sz w:val="20"/>
            </w:rPr>
            <w:fldChar w:fldCharType="end"/>
          </w:r>
          <w:r>
            <w:rPr>
              <w:sz w:val="20"/>
            </w:rPr>
            <w:t>/</w:t>
          </w:r>
          <w:r>
            <w:rPr>
              <w:sz w:val="20"/>
            </w:rPr>
            <w:fldChar w:fldCharType="begin"/>
          </w:r>
          <w:r>
            <w:rPr>
              <w:sz w:val="20"/>
            </w:rPr>
            <w:instrText xml:space="preserve"> NUMPAGES \* ARABIC </w:instrText>
          </w:r>
          <w:r>
            <w:rPr>
              <w:sz w:val="20"/>
            </w:rPr>
            <w:fldChar w:fldCharType="separate"/>
          </w:r>
          <w:r>
            <w:rPr>
              <w:sz w:val="20"/>
            </w:rPr>
            <w:t>6</w:t>
          </w:r>
          <w:r>
            <w:rPr>
              <w:sz w:val="20"/>
            </w:rPr>
            <w:fldChar w:fldCharType="end"/>
          </w:r>
          <w:r>
            <w:rPr>
              <w:sz w:val="20"/>
            </w:rPr>
            <w:t xml:space="preserve"> </w:t>
          </w:r>
        </w:p>
      </w:tc>
    </w:tr>
  </w:tbl>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egoe UI" w:cs="Tahoma"/>
        <w:color w:val="000000"/>
        <w:sz w:val="24"/>
        <w:szCs w:val="24"/>
        <w:lang w:val="ru-RU" w:eastAsia="zh-CN" w:bidi="hi-IN"/>
      </w:rPr>
    </w:rPrDefault>
    <w:pPrDefault>
      <w:pPr>
        <w:suppressAutoHyphens w:val="true"/>
      </w:pPr>
    </w:pPrDefault>
  </w:docDefaults>
  <w:style w:type="paragraph" w:styleId="Normal">
    <w:name w:val="Normal"/>
    <w:qFormat/>
    <w:pPr>
      <w:widowControl/>
      <w:bidi w:val="0"/>
      <w:spacing w:before="0" w:after="0"/>
      <w:ind w:firstLine="720" w:start="0" w:end="0"/>
      <w:jc w:val="both"/>
    </w:pPr>
    <w:rPr>
      <w:rFonts w:ascii="Times New Roman" w:hAnsi="Times New Roman"/>
      <w:sz w:val="24"/>
      <w:lang w:val="ru-RU" w:eastAsia="zh-CN" w:bidi="hi-IN"/>
    </w:rPr>
  </w:style>
  <w:style w:type="paragraph" w:styleId="Heading1">
    <w:name w:val="Heading 1"/>
    <w:basedOn w:val="Style10"/>
    <w:qFormat/>
    <w:pPr/>
    <w:rPr/>
  </w:style>
  <w:style w:type="paragraph" w:styleId="Heading2">
    <w:name w:val="Heading 2"/>
    <w:basedOn w:val="Style10"/>
    <w:qFormat/>
    <w:pPr/>
    <w:rPr/>
  </w:style>
  <w:style w:type="paragraph" w:styleId="Heading3">
    <w:name w:val="Heading 3"/>
    <w:basedOn w:val="Style10"/>
    <w:qFormat/>
    <w:pPr/>
    <w:rPr/>
  </w:style>
  <w:style w:type="paragraph" w:styleId="Heading4">
    <w:name w:val="Heading 4"/>
    <w:basedOn w:val="Style10"/>
    <w:qFormat/>
    <w:pPr/>
    <w:rPr/>
  </w:style>
  <w:style w:type="character" w:styleId="Hyperlink">
    <w:name w:val="Hyperlink"/>
    <w:rPr>
      <w:color w:val="000080"/>
      <w:u w:val="single"/>
    </w:rPr>
  </w:style>
  <w:style w:type="paragraph" w:styleId="Normal1">
    <w:name w:val="Normal1"/>
    <w:qFormat/>
    <w:pPr>
      <w:widowControl w:val="false"/>
      <w:bidi w:val="0"/>
    </w:pPr>
    <w:rPr>
      <w:rFonts w:ascii="Times New Roman" w:hAnsi="Times New Roman"/>
      <w:sz w:val="24"/>
      <w:lang w:val="ru-RU" w:eastAsia="zh-CN" w:bidi="hi-IN"/>
    </w:rPr>
  </w:style>
  <w:style w:type="paragraph" w:styleId="Preformatted">
    <w:name w:val="Preformatted"/>
    <w:qFormat/>
    <w:pPr>
      <w:widowControl/>
      <w:suppressAutoHyphens w:val="false"/>
      <w:bidi w:val="0"/>
      <w:spacing w:before="0" w:after="0"/>
      <w:ind w:hanging="0" w:start="0" w:end="0"/>
      <w:jc w:val="both"/>
    </w:pPr>
    <w:rPr>
      <w:rFonts w:ascii="Courier New" w:hAnsi="Courier New" w:eastAsia="Symbol" w:cs="Wingdings"/>
      <w:sz w:val="24"/>
      <w:szCs w:val="24"/>
      <w:lang w:val="ru-RU" w:eastAsia="zh-CN" w:bidi="hi-IN"/>
    </w:rPr>
  </w:style>
  <w:style w:type="paragraph" w:styleId="Style10">
    <w:name w:val="Заголовок"/>
    <w:basedOn w:val="Normal"/>
    <w:qFormat/>
    <w:pPr>
      <w:keepNext w:val="true"/>
      <w:spacing w:before="240" w:after="120"/>
      <w:jc w:val="center"/>
    </w:pPr>
    <w:rPr>
      <w:rFonts w:ascii="Times New Roman" w:hAnsi="Times New Roman"/>
      <w:b/>
    </w:rPr>
  </w:style>
  <w:style w:type="paragraph" w:styleId="BodyText">
    <w:name w:val="Body Text"/>
    <w:basedOn w:val="Normal"/>
    <w:pPr>
      <w:spacing w:lineRule="auto" w:line="276" w:before="0" w:after="140"/>
    </w:pPr>
    <w:rPr/>
  </w:style>
  <w:style w:type="paragraph" w:styleId="Style11">
    <w:name w:val="Нормальный"/>
    <w:basedOn w:val="Normal"/>
    <w:qFormat/>
    <w:pPr/>
    <w:rPr/>
  </w:style>
  <w:style w:type="paragraph" w:styleId="OEM">
    <w:name w:val="Нормальный (OEM)"/>
    <w:basedOn w:val="Preformatted"/>
    <w:qFormat/>
    <w:pPr/>
    <w:rPr/>
  </w:style>
  <w:style w:type="paragraph" w:styleId="Style12">
    <w:name w:val="Утратил силу"/>
    <w:basedOn w:val="Normal"/>
    <w:qFormat/>
    <w:pPr/>
    <w:rPr>
      <w:strike/>
      <w:color w:val="666600"/>
    </w:rPr>
  </w:style>
  <w:style w:type="paragraph" w:styleId="Textreference">
    <w:name w:val="Text (reference)"/>
    <w:basedOn w:val="Normal"/>
    <w:qFormat/>
    <w:pPr>
      <w:spacing w:before="75" w:after="0"/>
      <w:ind w:hanging="0" w:start="0" w:end="0"/>
      <w:jc w:val="both"/>
    </w:pPr>
    <w:rPr>
      <w:i/>
      <w:color w:val="353842"/>
      <w:sz w:val="24"/>
    </w:rPr>
  </w:style>
  <w:style w:type="paragraph" w:styleId="Style13">
    <w:name w:val="Комментарий"/>
    <w:basedOn w:val="Textreference"/>
    <w:qFormat/>
    <w:pPr>
      <w:shd w:fill="F0F0F0" w:val="clear"/>
      <w:jc w:val="both"/>
    </w:pPr>
    <w:rPr>
      <w:shd w:fill="F0F0F0" w:val="clear"/>
    </w:rPr>
  </w:style>
  <w:style w:type="paragraph" w:styleId="Style14">
    <w:name w:val="Заголовок статьи"/>
    <w:basedOn w:val="Normal"/>
    <w:qFormat/>
    <w:pPr>
      <w:spacing w:before="0" w:after="0"/>
      <w:ind w:hanging="892" w:start="1612" w:end="0"/>
      <w:jc w:val="both"/>
    </w:pPr>
    <w:rPr/>
  </w:style>
  <w:style w:type="paragraph" w:styleId="Style15">
    <w:name w:val="Прижатый влево"/>
    <w:basedOn w:val="Normal"/>
    <w:qFormat/>
    <w:pPr>
      <w:suppressAutoHyphens w:val="true"/>
      <w:ind w:hanging="0"/>
      <w:jc w:val="start"/>
    </w:pPr>
    <w:rPr/>
  </w:style>
  <w:style w:type="paragraph" w:styleId="Style16">
    <w:name w:val="Информация о версии"/>
    <w:basedOn w:val="Textreference"/>
    <w:qFormat/>
    <w:pPr>
      <w:shd w:fill="F0F0F0" w:val="clear"/>
      <w:jc w:val="both"/>
    </w:pPr>
    <w:rPr>
      <w:shd w:fill="F0F0F0" w:val="clear"/>
    </w:rPr>
  </w:style>
  <w:style w:type="paragraph" w:styleId="Style17">
    <w:name w:val="Не вступил в силу"/>
    <w:basedOn w:val="Normal"/>
    <w:qFormat/>
    <w:pPr>
      <w:ind w:hanging="139" w:start="139" w:end="0"/>
    </w:pPr>
    <w:rPr/>
  </w:style>
  <w:style w:type="paragraph" w:styleId="Style18">
    <w:name w:val="Информация об изменениях"/>
    <w:basedOn w:val="Textreference"/>
    <w:qFormat/>
    <w:pPr>
      <w:shd w:fill="EAEFED" w:val="clear"/>
    </w:pPr>
    <w:rPr>
      <w:sz w:val="20"/>
      <w:shd w:fill="EAEFED" w:val="clear"/>
    </w:rPr>
  </w:style>
  <w:style w:type="paragraph" w:styleId="Style19">
    <w:name w:val="Заголовок ЭР (левое окно)"/>
    <w:basedOn w:val="Style10"/>
    <w:qFormat/>
    <w:pPr/>
    <w:rPr/>
  </w:style>
  <w:style w:type="paragraph" w:styleId="FootnoteText">
    <w:name w:val="Footnote Text"/>
    <w:basedOn w:val="Normal"/>
    <w:pPr/>
    <w:rPr>
      <w:sz w:val="20"/>
    </w:rPr>
  </w:style>
  <w:style w:type="paragraph" w:styleId="Style20">
    <w:name w:val="Взамен"/>
    <w:basedOn w:val="Textreference"/>
    <w:qFormat/>
    <w:pPr>
      <w:shd w:fill="FFF5AD" w:val="clear"/>
      <w:ind w:hanging="0" w:start="432"/>
    </w:pPr>
    <w:rPr>
      <w:shd w:fill="FFF5AD" w:val="clear"/>
    </w:rPr>
  </w:style>
  <w:style w:type="paragraph" w:styleId="Style21">
    <w:name w:val="Сравнение"/>
    <w:basedOn w:val="Textreference"/>
    <w:qFormat/>
    <w:pPr>
      <w:shd w:fill="F0F0F0" w:val="clear"/>
      <w:ind w:hanging="0" w:start="432"/>
    </w:pPr>
    <w:rPr>
      <w:shd w:fill="F0F0F0" w:val="clear"/>
    </w:rPr>
  </w:style>
  <w:style w:type="paragraph" w:styleId="Style22">
    <w:name w:val="Колонтитул"/>
    <w:basedOn w:val="Normal"/>
    <w:qFormat/>
    <w:pPr>
      <w:suppressLineNumbers/>
      <w:tabs>
        <w:tab w:val="clear" w:pos="720"/>
        <w:tab w:val="center" w:pos="4819" w:leader="none"/>
        <w:tab w:val="right" w:pos="9638" w:leader="none"/>
      </w:tabs>
    </w:pPr>
    <w:rPr/>
  </w:style>
  <w:style w:type="paragraph" w:styleId="Header">
    <w:name w:val="Header"/>
    <w:basedOn w:val="Style22"/>
    <w:pPr>
      <w:suppressLineNumbers/>
    </w:pPr>
    <w:rPr/>
  </w:style>
  <w:style w:type="paragraph" w:styleId="Footer">
    <w:name w:val="Footer"/>
    <w:basedOn w:val="Style22"/>
    <w:pPr>
      <w:suppressLineNumbers/>
    </w:pPr>
    <w:rPr/>
  </w:style>
  <w:style w:type="paragraph" w:styleId="Style23">
    <w:name w:val="Содержимое таблицы"/>
    <w:basedOn w:val="Normal"/>
    <w:qFormat/>
    <w:pPr>
      <w:widowControl w:val="false"/>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LibreOffice/7.6.2.1$Windows_X86_64 LibreOffice_project/56f7684011345957bbf33a7ee678afaf4d2ba333</Application>
  <AppVersion>15.0000</AppVersion>
  <Pages>6</Pages>
  <Words>2646</Words>
  <Characters>18801</Characters>
  <CharactersWithSpaces>21363</CharactersWithSpaces>
  <Paragraphs>88</Paragraphs>
  <Company>НПП "Гарант-Сервис"</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dc:language>ru-RU</dc:language>
  <cp:lastModifiedBy/>
  <dcterms:modified xsi:type="dcterms:W3CDTF">2026-04-09T15:53:35Z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