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Постановление Правительства РФ от 10 декабря 2018 г. N 1505 "Об ограничении условий и мест розничной продажи спиртосодержащей непищевой продукции"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В соответствии с абзацем пятым пункта 1 статьи 11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>
      <w:pPr>
        <w:pStyle w:val="Style11"/>
        <w:rPr/>
      </w:pPr>
      <w:bookmarkStart w:id="1" w:name="anchor1"/>
      <w:bookmarkEnd w:id="1"/>
      <w:r>
        <w:rPr/>
        <w:t>1. Установить запрет на розничную продажу спиртосодержащей непищевой продукции с содержанием этилового спирта более 28 процентов объема готовой продукции ниже цены, по которой осуществляется розничная продажа водки, ликеро-водочной и другой алкогольной продукции крепостью свыше 28 процентов за 0,5 литра готовой продукции, которая установлена уполномоченным федеральным органом исполнительной власти в соответствии с пунктом 5 статьи 11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>
      <w:pPr>
        <w:pStyle w:val="Style11"/>
        <w:rPr/>
      </w:pPr>
      <w:bookmarkStart w:id="2" w:name="anchor2"/>
      <w:bookmarkEnd w:id="2"/>
      <w:r>
        <w:rPr/>
        <w:t>2. Установить запрет на розничную продажу спиртосодержащей непищевой продукции, указанной в пункте 1 настоящего постановления, в организациях общественного питания.</w:t>
      </w:r>
    </w:p>
    <w:p>
      <w:pPr>
        <w:pStyle w:val="Style11"/>
        <w:rPr/>
      </w:pPr>
      <w:bookmarkStart w:id="3" w:name="anchor3"/>
      <w:bookmarkEnd w:id="3"/>
      <w:r>
        <w:rPr/>
        <w:t>3. Установить, что запреты, установленные в пунктах 1 и 2 настоящего постановления, не распространяются на стеклоомывающие жидкости, нежидкую непищевую спиртосодержащую продукцию, а также непищевую спиртосодержащую продукцию с использованием укупорочных средств, исключающих ее пероральное потребление.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Председатель Правительства Российской Федерации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Д. Медведев</w:t>
            </w:r>
          </w:p>
        </w:tc>
      </w:tr>
    </w:tbl>
    <w:p>
      <w:pPr>
        <w:pStyle w:val="Style11"/>
        <w:rPr/>
      </w:pPr>
      <w:r>
        <w:rPr/>
      </w:r>
    </w:p>
    <w:sectPr>
      <w:type w:val="nextPage"/>
      <w:pgSz w:w="11906" w:h="16838"/>
      <w:pgMar w:left="794" w:right="794" w:gutter="0" w:header="0" w:top="794" w:footer="0" w:bottom="79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1</Pages>
  <Words>213</Words>
  <Characters>1557</Characters>
  <CharactersWithSpaces>1762</CharactersWithSpaces>
  <Paragraphs>14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2026-04-09T12:16:36Z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