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Normal"/>
        <w:ind w:left="0" w:right="0" w:firstLine="0"/>
        <w:jc w:val="center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Способы получения консультаций по вопросам соблюдения обязательных требований</w:t>
      </w:r>
    </w:p>
    <w:p>
      <w:pPr>
        <w:pStyle w:val="Normal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Консультирование осуществляется Министерством в соответствии со статьей 50 Федерального закона № 248-ФЗ.</w:t>
      </w:r>
    </w:p>
    <w:p>
      <w:pPr>
        <w:pStyle w:val="Normal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Должностные лица Министерства по обращениям контролируемых лиц и их представителей, направленным в том числе в электронном виде с использованием федеральной государственной информационной системы "Единый портал государственных и муниципальных услуг (функций)" (www.gosuslugi.ru), осуществляют консультирование контролируемых лиц и их представителей по телефону, посредством видеоконференцсвязи, использования мобильного приложения "Инспектор", на личном приеме либо в ходе проведения профилактического мероприятия, внепланового контрольного (надзорного) мероприятия.</w:t>
      </w:r>
    </w:p>
    <w:p>
      <w:pPr>
        <w:pStyle w:val="Normal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Консультирование осуществляется по следующим вопросам:</w:t>
      </w:r>
    </w:p>
    <w:p>
      <w:pPr>
        <w:pStyle w:val="Normal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содержание обязательных требований, предъявляемых к деятельности контролируемых лиц либо к принадлежащим им объектам контроля, принятие мер по обеспечению соблюдения обязательных требований, недопустимости нарушения обязательных требований и о последствиях их несоблюдения;</w:t>
      </w:r>
    </w:p>
    <w:p>
      <w:pPr>
        <w:pStyle w:val="Normal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о нормативных правовых актах, регламентирующих порядок осуществления регионального государственного контроля;</w:t>
      </w:r>
    </w:p>
    <w:p>
      <w:pPr>
        <w:pStyle w:val="Normal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о порядке обжалования решений Министерства, действий (бездействия) должностных лиц Министерства;</w:t>
      </w:r>
    </w:p>
    <w:p>
      <w:pPr>
        <w:pStyle w:val="Normal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об административной ответственности за нарушение обязательных требований.</w:t>
      </w:r>
    </w:p>
    <w:p>
      <w:pPr>
        <w:pStyle w:val="Normal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Письменное консультирование осуществляется по вопросам, предусмотренным частью третьей настоящего пункта, в случае поступления письменного обращения, которое содержит указанные вопросы, в соответствии с Федеральным законом от 2 мая 2006 г. N 59-ФЗ "О порядке рассмотрения обращений граждан Российской Федерации".</w:t>
      </w:r>
    </w:p>
    <w:p>
      <w:pPr>
        <w:pStyle w:val="Normal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если в течение календарного года поступило пять и более однотипных (по одним и тем же вопросам) обращений контролируемых лиц и их представителей, консультирование осуществляется посредством размещения на официальном сайте Министерства в информационно-коммуникационной сети "Интернет" письменного разъяснения, подписанного Министром экономики, торговли и предпринимательства Республики Мордовия или первым заместителем Министра экономики, торговли и предпринимательства Республики Мордовия (заместителем Министра экономики, торговли и предпринимательства Республики Мордовия), в течение 15 рабочих дней со дня поступления пятого однотипного обращения.</w:t>
      </w:r>
    </w:p>
    <w:sectPr>
      <w:type w:val="nextPage"/>
      <w:pgSz w:w="11906" w:h="16838"/>
      <w:pgMar w:top="1134" w:right="850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Microsoft YaHei">
    <w:panose1 w:val="020B0503020203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 w:val="true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ans" w:hAnsi="Liberation Sans" w:eastAsia="Liberation Sans" w:cs="Liberation Sans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pacing w:before="0" w:beforeAutospacing="0" w:after="200" w:afterAutospacing="0" w:line="276" w:lineRule="auto"/>
      <w:jc w:val="left"/>
    </w:pPr>
    <w:rPr>
      <w:rFonts w:ascii="Liberation Sans" w:hAnsi="Liberation Sans" w:eastAsia="Liberation Sans" w:cs="Liberation Sans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Liberation Sans" w:hAnsi="Liberation Sans" w:eastAsia="Liberation Sans" w:cs="Liberation Sans"/>
      <w:sz w:val="40"/>
      <w:szCs w:val="40"/>
    </w:rPr>
  </w:style>
  <w:style w:type="character" w:styleId="Heading2Char">
    <w:name w:val="Heading 2 Char"/>
    <w:uiPriority w:val="9"/>
    <w:qFormat/>
    <w:rPr>
      <w:rFonts w:ascii="Liberation Sans" w:hAnsi="Liberation Sans" w:eastAsia="Liberation Sans" w:cs="Liberation Sans"/>
      <w:sz w:val="34"/>
    </w:rPr>
  </w:style>
  <w:style w:type="character" w:styleId="Heading3Char">
    <w:name w:val="Heading 3 Char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Heading4Char">
    <w:name w:val="Heading 4 Char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uiPriority w:val="99"/>
    <w:qFormat/>
  </w:style>
  <w:style w:type="character" w:styleId="FooterChar">
    <w:name w:val="Footer Char"/>
    <w:uiPriority w:val="99"/>
    <w:qFormat/>
  </w:style>
  <w:style w:type="character" w:styleId="CaptionChar">
    <w:name w:val="Caption Char"/>
    <w:uiPriority w:val="35"/>
    <w:qFormat/>
    <w:rPr>
      <w:b/>
      <w:bCs/>
      <w:color w:val="4f81bd" w:themeColor="accent1"/>
      <w:sz w:val="18"/>
      <w:szCs w:val="18"/>
    </w:r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</w:style>
  <w:style w:type="paragraph" w:styleId="Style7">
    <w:name w:val="Заголовок"/>
    <w:basedOn w:val="Normal"/>
    <w:next w:val="BodyText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next w:val="Normal"/>
    <w:link w:val="CaptionChar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Style8">
    <w:name w:val="Указатель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 w:before="0" w:after="200"/>
      <w:ind w:left="720" w:right="720"/>
    </w:pPr>
    <w:rPr>
      <w:i/>
    </w:rPr>
  </w:style>
  <w:style w:type="paragraph" w:styleId="Style9">
    <w:name w:val="Колонтитулы"/>
    <w:basedOn w:val="Normal"/>
    <w:qFormat/>
  </w:style>
  <w:style w:type="paragraph" w:styleId="Header">
    <w:name w:val="header"/>
    <w:basedOn w:val="Normal"/>
    <w:link w:val="HeaderChar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before="0" w:after="0" w:line="240" w:lineRule="auto"/>
    </w:pPr>
  </w:style>
  <w:style w:type="paragraph" w:styleId="Footer">
    <w:name w:val="footer"/>
    <w:basedOn w:val="Normal"/>
    <w:link w:val="FooterChar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before="0"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left="0" w:right="0" w:firstLine="0"/>
    </w:pPr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 w:right="0" w:firstLine="0"/>
    </w:pPr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 w:right="0" w:firstLine="0"/>
    </w:pPr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 w:right="0" w:firstLine="0"/>
    </w:pPr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 w:right="0" w:firstLine="0"/>
    </w:pPr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 w:right="0" w:firstLine="0"/>
    </w:pPr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 w:right="0" w:firstLine="0"/>
    </w:pPr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 w:right="0" w:firstLine="0"/>
    </w:pPr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 w:right="0" w:firstLine="0"/>
    </w:pPr>
  </w:style>
  <w:style w:type="paragraph" w:styleId="IndexHeading">
    <w:name w:val="index heading"/>
    <w:basedOn w:val="Style7"/>
  </w:style>
  <w:style w:type="paragraph" w:styleId="TOCHeading">
    <w:name w:val="TOC Heading"/>
    <w:uiPriority w:val="39"/>
    <w:unhideWhenUsed/>
    <w:qFormat/>
    <w:pPr>
      <w:widowControl/>
      <w:spacing w:before="0" w:beforeAutospacing="0" w:after="200" w:afterAutospacing="0" w:line="276" w:lineRule="auto"/>
      <w:jc w:val="left"/>
    </w:pPr>
    <w:rPr>
      <w:rFonts w:ascii="Liberation Sans" w:hAnsi="Liberation Sans" w:eastAsia="Liberation Sans" w:cs="Liberation Sans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="0" w:afterAutospacing="0"/>
    </w:pPr>
  </w:style>
  <w:style w:type="paragraph" w:styleId="NoSpacing">
    <w:name w:val="No Spacing"/>
    <w:basedOn w:val="Normal"/>
    <w:uiPriority w:val="1"/>
    <w:qFormat/>
    <w:pPr>
      <w:spacing w:before="0" w:after="0" w:line="240" w:lineRule="auto"/>
    </w:pPr>
  </w:style>
  <w:style w:type="paragraph" w:styleId="ListParagraph">
    <w:name w:val="List Paragraph"/>
    <w:basedOn w:val="Normal"/>
    <w:uiPriority w:val="34"/>
    <w:qFormat/>
    <w:pPr>
      <w:spacing w:before="0" w:after="200"/>
      <w:ind w:left="720"/>
      <w:contextualSpacing/>
    </w:pPr>
  </w:style>
  <w:style w:type="numbering" w:styleId="Style10" w:default="1">
    <w:name w:val="Без списка"/>
    <w:uiPriority w:val="99"/>
    <w:semiHidden/>
    <w:unhideWhenUsed/>
    <w:qFormat/>
  </w:style>
  <w:style w:type="table" w:styleId="687">
    <w:name w:val="Table Grid"/>
    <w:basedOn w:val="83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debf6" w:themeFill="accent1" w:themeFillTint="34"/>
      </w:tcPr>
    </w:tblStylePr>
    <w:tblStylePr w:type="band1Vert">
      <w:rPr>
        <w:sz w:val="22"/>
      </w:rPr>
      <w:tcPr>
        <w:shd w:val="clear" w:color="ffffff" w:fill="ddebf6" w:themeFill="accent1" w:themeFillTint="34"/>
      </w:tcPr>
    </w:tblStylePr>
    <w:tblStylePr w:type="firstCol">
      <w:rPr>
        <w:i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i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i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i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i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i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febf6" w:themeFill="accent1" w:themeFillTint="32"/>
      </w:tcPr>
    </w:tblStylePr>
    <w:tblStylePr w:type="band1Vert">
      <w:rPr>
        <w:sz w:val="22"/>
      </w:rPr>
      <w:tcPr>
        <w:shd w:val="clear" w:color="ffffff" w:fill="df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67a4d8" w:themeFill="accent1" w:themeFillTint="EA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be5d6" w:themeFill="accent2" w:themeFillTint="32"/>
      </w:tcPr>
    </w:tblStylePr>
    <w:tblStylePr w:type="band1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f4b185" w:themeFill="accent2" w:themeFillTint="97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deded" w:themeFill="accent3" w:themeFillTint="34"/>
      </w:tcPr>
    </w:tblStylePr>
    <w:tblStylePr w:type="band1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a5a5a5" w:themeFill="accent3" w:themeFillTint="FE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ef2cb" w:themeFill="accent4" w:themeFillTint="34"/>
      </w:tcPr>
    </w:tblStylePr>
    <w:tblStylePr w:type="band1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ffd864" w:themeFill="accent4" w:themeFillTint="9A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9e2f2" w:themeFill="accent5" w:themeFillTint="34"/>
      </w:tcPr>
    </w:tblStylePr>
    <w:tblStylePr w:type="band1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472c4" w:themeFill="accent5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e2efd8" w:themeFill="accent6" w:themeFillTint="34"/>
      </w:tcPr>
    </w:tblStylePr>
    <w:tblStylePr w:type="band1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70ad47" w:themeFill="accent6"/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4d2eb" w:themeFill="accent1" w:themeFillTint="75"/>
      </w:tcPr>
    </w:tblStylePr>
    <w:tblStylePr w:type="band1Vert">
      <w:tcPr>
        <w:shd w:val="clear" w:color="ffffff" w:fill="b4d2eb" w:themeFill="accent1" w:themeFillTint="75"/>
      </w:tcPr>
    </w:tblStylePr>
    <w:tblStylePr w:type="firstCol">
      <w:rPr>
        <w:b/>
        <w:sz w:val="22"/>
      </w:rPr>
      <w:tcPr>
        <w:shd w:val="clear" w:color="ffffff" w:fill="5b9bd5" w:themeFill="accent1"/>
      </w:tc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  <w:sz w:val="22"/>
      </w:rPr>
      <w:tcPr>
        <w:shd w:val="clear" w:color="ffffff" w:fill="5b9bd5" w:themeFill="accent1"/>
      </w:tcPr>
    </w:tblStylePr>
    <w:tblStylePr w:type="lastRow">
      <w:rPr>
        <w:b/>
        <w:sz w:val="22"/>
      </w:rPr>
      <w:tcPr>
        <w:tcBorders>
          <w:top w:val="single" w:color="000000" w:themeColor="light1" w:sz="4" w:space="0"/>
        </w:tcBorders>
        <w:shd w:val="clear" w:color="ffffff" w:fill="5b9bd5" w:themeFill="accent1"/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6c3a1" w:themeFill="accent2" w:themeFillTint="75"/>
      </w:tcPr>
    </w:tblStylePr>
    <w:tblStylePr w:type="band1Vert">
      <w:tcPr>
        <w:shd w:val="clear" w:color="ffffff" w:fill="f6c3a1" w:themeFill="accent2" w:themeFillTint="75"/>
      </w:tcPr>
    </w:tblStylePr>
    <w:tblStylePr w:type="firstCol">
      <w:rPr>
        <w:b/>
        <w:sz w:val="22"/>
      </w:rPr>
      <w:tcPr>
        <w:shd w:val="clear" w:color="ffffff" w:fill="ed7d31" w:themeFill="accent2"/>
      </w:tc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  <w:sz w:val="22"/>
      </w:rPr>
      <w:tcPr>
        <w:shd w:val="clear" w:color="ffffff" w:fill="ed7d31" w:themeFill="accent2"/>
      </w:tcPr>
    </w:tblStylePr>
    <w:tblStylePr w:type="lastRow">
      <w:rPr>
        <w:b/>
        <w:sz w:val="22"/>
      </w:rPr>
      <w:tcPr>
        <w:tcBorders>
          <w:top w:val="single" w:color="000000" w:themeColor="light1" w:sz="4" w:space="0"/>
        </w:tcBorders>
        <w:shd w:val="clear" w:color="ffffff" w:fill="ed7d31" w:themeFill="accent2"/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6d6d6" w:themeFill="accent3" w:themeFillTint="75"/>
      </w:tcPr>
    </w:tblStylePr>
    <w:tblStylePr w:type="band1Vert">
      <w:tcPr>
        <w:shd w:val="clear" w:color="ffffff" w:fill="d6d6d6" w:themeFill="accent3" w:themeFillTint="75"/>
      </w:tcPr>
    </w:tblStylePr>
    <w:tblStylePr w:type="firstCol">
      <w:rPr>
        <w:b/>
        <w:sz w:val="22"/>
      </w:rPr>
      <w:tcPr>
        <w:shd w:val="clear" w:color="ffffff" w:fill="a5a5a5" w:themeFill="accent3"/>
      </w:tc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  <w:sz w:val="22"/>
      </w:rPr>
      <w:tcPr>
        <w:shd w:val="clear" w:color="ffffff" w:fill="a5a5a5" w:themeFill="accent3"/>
      </w:tcPr>
    </w:tblStylePr>
    <w:tblStylePr w:type="lastRow">
      <w:rPr>
        <w:b/>
        <w:sz w:val="22"/>
      </w:rPr>
      <w:tcPr>
        <w:tcBorders>
          <w:top w:val="single" w:color="000000" w:themeColor="light1" w:sz="4" w:space="0"/>
        </w:tcBorders>
        <w:shd w:val="clear" w:color="ffffff" w:fill="a5a5a5" w:themeFill="accent3"/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ee189" w:themeFill="accent4" w:themeFillTint="75"/>
      </w:tcPr>
    </w:tblStylePr>
    <w:tblStylePr w:type="band1Vert">
      <w:tcPr>
        <w:shd w:val="clear" w:color="ffffff" w:fill="fee189" w:themeFill="accent4" w:themeFillTint="75"/>
      </w:tcPr>
    </w:tblStylePr>
    <w:tblStylePr w:type="firstCol">
      <w:rPr>
        <w:b/>
        <w:sz w:val="22"/>
      </w:rPr>
      <w:tcPr>
        <w:shd w:val="clear" w:color="ffffff" w:fill="ffc000" w:themeFill="accent4"/>
      </w:tc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  <w:sz w:val="22"/>
      </w:rPr>
      <w:tcPr>
        <w:shd w:val="clear" w:color="ffffff" w:fill="ffc000" w:themeFill="accent4"/>
      </w:tcPr>
    </w:tblStylePr>
    <w:tblStylePr w:type="lastRow">
      <w:rPr>
        <w:b/>
        <w:sz w:val="22"/>
      </w:rPr>
      <w:tcPr>
        <w:tcBorders>
          <w:top w:val="single" w:color="000000" w:themeColor="light1" w:sz="4" w:space="0"/>
        </w:tcBorders>
        <w:shd w:val="clear" w:color="ffffff" w:fill="ffc000" w:themeFill="accent4"/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abfe3" w:themeFill="accent5" w:themeFillTint="75"/>
      </w:tcPr>
    </w:tblStylePr>
    <w:tblStylePr w:type="band1Vert">
      <w:tcPr>
        <w:shd w:val="clear" w:color="ffffff" w:fill="aabfe3" w:themeFill="accent5" w:themeFillTint="75"/>
      </w:tcPr>
    </w:tblStylePr>
    <w:tblStylePr w:type="firstCol">
      <w:rPr>
        <w:b/>
        <w:sz w:val="22"/>
      </w:rPr>
      <w:tcPr>
        <w:shd w:val="clear" w:color="ffffff" w:fill="4472c4" w:themeFill="accent5"/>
      </w:tc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  <w:sz w:val="22"/>
      </w:rPr>
      <w:tcPr>
        <w:shd w:val="clear" w:color="ffffff" w:fill="4472c4" w:themeFill="accent5"/>
      </w:tcPr>
    </w:tblStylePr>
    <w:tblStylePr w:type="lastRow">
      <w:rPr>
        <w:b/>
        <w:sz w:val="22"/>
      </w:rPr>
      <w:tcPr>
        <w:tcBorders>
          <w:top w:val="single" w:color="000000" w:themeColor="light1" w:sz="4" w:space="0"/>
        </w:tcBorders>
        <w:shd w:val="clear" w:color="ffffff" w:fill="4472c4" w:themeFill="accent5"/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edba8" w:themeFill="accent6" w:themeFillTint="75"/>
      </w:tcPr>
    </w:tblStylePr>
    <w:tblStylePr w:type="band1Vert">
      <w:tcPr>
        <w:shd w:val="clear" w:color="ffffff" w:fill="bedba8" w:themeFill="accent6" w:themeFillTint="75"/>
      </w:tcPr>
    </w:tblStylePr>
    <w:tblStylePr w:type="firstCol">
      <w:rPr>
        <w:b/>
        <w:sz w:val="22"/>
      </w:rPr>
      <w:tcPr>
        <w:shd w:val="clear" w:color="ffffff" w:fill="70ad47" w:themeFill="accent6"/>
      </w:tc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  <w:sz w:val="22"/>
      </w:rPr>
      <w:tcPr>
        <w:shd w:val="clear" w:color="ffffff" w:fill="70ad47" w:themeFill="accent6"/>
      </w:tcPr>
    </w:tblStylePr>
    <w:tblStylePr w:type="lastRow">
      <w:rPr>
        <w:b/>
        <w:sz w:val="22"/>
      </w:rPr>
      <w:tcPr>
        <w:tcBorders>
          <w:top w:val="single" w:color="000000" w:themeColor="light1" w:sz="4" w:space="0"/>
        </w:tcBorders>
        <w:shd w:val="clear" w:color="ffffff" w:fill="70ad47" w:themeFill="accent6"/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a4a4a" w:themeColor="text1" w:themeTint="80" w:themeShade="95"/>
        <w:sz w:val="22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317bba" w:themeColor="accent1" w:themeTint="80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c95712" w:themeColor="accent2" w:themeTint="97" w:themeShade="95"/>
        <w:sz w:val="22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606060" w:themeColor="accent3" w:themeTint="FE" w:themeShade="95"/>
        <w:sz w:val="22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cd9600" w:themeColor="accent4" w:themeTint="9A" w:themeShade="95"/>
        <w:sz w:val="22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254374" w:themeColor="accent5" w:themeShade="95"/>
        <w:sz w:val="22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26429" w:themeColor="accent6" w:themeShade="95"/>
        <w:sz w:val="22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4b18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d864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eab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ad08f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5e6f4" w:themeFill="accent1" w:themeFillTint="40"/>
      </w:tcPr>
    </w:tblStylePr>
    <w:tblStylePr w:type="band1Vert">
      <w:rPr>
        <w:sz w:val="22"/>
      </w:rPr>
      <w:tcPr>
        <w:shd w:val="clear" w:color="ffffff" w:fill="d5e6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adecb" w:themeFill="accent2" w:themeFillTint="40"/>
      </w:tcPr>
    </w:tblStylePr>
    <w:tblStylePr w:type="band1Vert">
      <w:rPr>
        <w:sz w:val="22"/>
      </w:rPr>
      <w:tcPr>
        <w:shd w:val="clear" w:color="ffffff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8e8e8" w:themeFill="accent3" w:themeFillTint="40"/>
      </w:tcPr>
    </w:tblStylePr>
    <w:tblStylePr w:type="band1Vert">
      <w:rPr>
        <w:sz w:val="22"/>
      </w:rPr>
      <w:tcPr>
        <w:shd w:val="clear" w:color="ffffff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efbf" w:themeFill="accent4" w:themeFillTint="40"/>
      </w:tcPr>
    </w:tblStylePr>
    <w:tblStylePr w:type="band1Vert">
      <w:rPr>
        <w:sz w:val="22"/>
      </w:rPr>
      <w:tcPr>
        <w:shd w:val="clear" w:color="fffff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cfdcf0" w:themeFill="accent5" w:themeFillTint="40"/>
      </w:tcPr>
    </w:tblStylePr>
    <w:tblStylePr w:type="band1Vert">
      <w:rPr>
        <w:sz w:val="22"/>
      </w:rPr>
      <w:tcPr>
        <w:shd w:val="clear" w:color="ffffff" w:fill="cfdc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dbebd0" w:themeFill="accent6" w:themeFillTint="40"/>
      </w:tcPr>
    </w:tblStylePr>
    <w:tblStylePr w:type="band1Vert">
      <w:rPr>
        <w:sz w:val="22"/>
      </w:rPr>
      <w:tcPr>
        <w:shd w:val="clear" w:color="ffffff" w:fill="dbeb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4a4a4a" w:themeColor="text1" w:themeTint="80" w:themeShade="95"/>
        <w:sz w:val="22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c95712" w:themeColor="accent2" w:themeTint="97" w:themeShade="95"/>
        <w:sz w:val="22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757575" w:themeColor="accent3" w:themeTint="98" w:themeShade="95"/>
        <w:sz w:val="22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cd9600" w:themeColor="accent4" w:themeTint="9A" w:themeShade="95"/>
        <w:sz w:val="22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335e9e" w:themeColor="accent5" w:themeTint="9A" w:themeShade="95"/>
        <w:sz w:val="22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5f8f3c" w:themeColor="accent6" w:themeTint="98" w:themeShade="95"/>
        <w:sz w:val="22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ce0f1" w:themeFill="accent1" w:themeFillTint="50"/>
      </w:tcPr>
    </w:tblStylePr>
    <w:tblStylePr w:type="band2Vert">
      <w:rPr>
        <w:sz w:val="22"/>
      </w:rPr>
      <w:tcPr>
        <w:shd w:val="clear" w:color="ffffff" w:fill="cce0f1" w:themeFill="accent1" w:themeFillTint="50"/>
      </w:tcPr>
    </w:tblStylePr>
    <w:tblStylePr w:type="firstCol">
      <w:rPr>
        <w:sz w:val="22"/>
      </w:rPr>
      <w:tcPr>
        <w:shd w:val="clear" w:color="ffffff" w:fill="67a4d8" w:themeFill="accent1" w:themeFillTint="EA"/>
      </w:tcPr>
    </w:tblStylePr>
    <w:tblStylePr w:type="firstRow">
      <w:rPr>
        <w:sz w:val="22"/>
      </w:rPr>
      <w:tcPr>
        <w:shd w:val="clear" w:color="ffffff" w:fill="67a4d8" w:themeFill="accent1" w:themeFillTint="EA"/>
      </w:tcPr>
    </w:tblStylePr>
    <w:tblStylePr w:type="lastCol">
      <w:rPr>
        <w:sz w:val="22"/>
      </w:rPr>
      <w:tcPr>
        <w:shd w:val="clear" w:color="ffffff" w:fill="67a4d8" w:themeFill="accent1" w:themeFillTint="EA"/>
      </w:tcPr>
    </w:tblStylePr>
    <w:tblStylePr w:type="lastRow">
      <w:rPr>
        <w:sz w:val="22"/>
      </w:rPr>
      <w:tcPr>
        <w:shd w:val="clear" w:color="ffffff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be5d6" w:themeFill="accent2" w:themeFillTint="32"/>
      </w:tcPr>
    </w:tblStylePr>
    <w:tblStylePr w:type="band2Vert">
      <w:rPr>
        <w:sz w:val="22"/>
      </w:rPr>
      <w:tcPr>
        <w:shd w:val="clear" w:color="ffffff" w:fill="fbe5d6" w:themeFill="accent2" w:themeFillTint="32"/>
      </w:tcPr>
    </w:tblStylePr>
    <w:tblStylePr w:type="firstCol">
      <w:rPr>
        <w:sz w:val="22"/>
      </w:rPr>
      <w:tcPr>
        <w:shd w:val="clear" w:color="ffffff" w:fill="f4b185" w:themeFill="accent2" w:themeFillTint="97"/>
      </w:tcPr>
    </w:tblStylePr>
    <w:tblStylePr w:type="firstRow">
      <w:rPr>
        <w:sz w:val="22"/>
      </w:rPr>
      <w:tcPr>
        <w:shd w:val="clear" w:color="ffffff" w:fill="f4b185" w:themeFill="accent2" w:themeFillTint="97"/>
      </w:tcPr>
    </w:tblStylePr>
    <w:tblStylePr w:type="lastCol">
      <w:rPr>
        <w:sz w:val="22"/>
      </w:rPr>
      <w:tcPr>
        <w:shd w:val="clear" w:color="ffffff" w:fill="f4b185" w:themeFill="accent2" w:themeFillTint="97"/>
      </w:tcPr>
    </w:tblStylePr>
    <w:tblStylePr w:type="lastRow">
      <w:rPr>
        <w:sz w:val="22"/>
      </w:rPr>
      <w:tcPr>
        <w:shd w:val="clear" w:color="ffffff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deded" w:themeFill="accent3" w:themeFillTint="34"/>
      </w:tcPr>
    </w:tblStylePr>
    <w:tblStylePr w:type="band2Vert">
      <w:rPr>
        <w:sz w:val="22"/>
      </w:rPr>
      <w:tcPr>
        <w:shd w:val="clear" w:color="ffffff" w:fill="ededed" w:themeFill="accent3" w:themeFillTint="34"/>
      </w:tcPr>
    </w:tblStylePr>
    <w:tblStylePr w:type="firstCol">
      <w:rPr>
        <w:sz w:val="22"/>
      </w:rPr>
      <w:tcPr>
        <w:shd w:val="clear" w:color="ffffff" w:fill="a5a5a5" w:themeFill="accent3" w:themeFillTint="FE"/>
      </w:tcPr>
    </w:tblStylePr>
    <w:tblStylePr w:type="firstRow">
      <w:rPr>
        <w:sz w:val="22"/>
      </w:rPr>
      <w:tcPr>
        <w:shd w:val="clear" w:color="ffffff" w:fill="a5a5a5" w:themeFill="accent3" w:themeFillTint="FE"/>
      </w:tcPr>
    </w:tblStylePr>
    <w:tblStylePr w:type="lastCol">
      <w:rPr>
        <w:sz w:val="22"/>
      </w:rPr>
      <w:tcPr>
        <w:shd w:val="clear" w:color="ffffff" w:fill="a5a5a5" w:themeFill="accent3" w:themeFillTint="FE"/>
      </w:tcPr>
    </w:tblStylePr>
    <w:tblStylePr w:type="lastRow">
      <w:rPr>
        <w:sz w:val="22"/>
      </w:rPr>
      <w:tcPr>
        <w:shd w:val="clear" w:color="ffffff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ef2cb" w:themeFill="accent4" w:themeFillTint="34"/>
      </w:tcPr>
    </w:tblStylePr>
    <w:tblStylePr w:type="band2Vert">
      <w:rPr>
        <w:sz w:val="22"/>
      </w:rPr>
      <w:tcPr>
        <w:shd w:val="clear" w:color="ffffff" w:fill="fef2cb" w:themeFill="accent4" w:themeFillTint="34"/>
      </w:tcPr>
    </w:tblStylePr>
    <w:tblStylePr w:type="firstCol">
      <w:rPr>
        <w:sz w:val="22"/>
      </w:rPr>
      <w:tcPr>
        <w:shd w:val="clear" w:color="ffffff" w:fill="ffd864" w:themeFill="accent4" w:themeFillTint="9A"/>
      </w:tcPr>
    </w:tblStylePr>
    <w:tblStylePr w:type="firstRow">
      <w:rPr>
        <w:sz w:val="22"/>
      </w:rPr>
      <w:tcPr>
        <w:shd w:val="clear" w:color="ffffff" w:fill="ffd864" w:themeFill="accent4" w:themeFillTint="9A"/>
      </w:tcPr>
    </w:tblStylePr>
    <w:tblStylePr w:type="lastCol">
      <w:rPr>
        <w:sz w:val="22"/>
      </w:rPr>
      <w:tcPr>
        <w:shd w:val="clear" w:color="ffffff" w:fill="ffd864" w:themeFill="accent4" w:themeFillTint="9A"/>
      </w:tcPr>
    </w:tblStylePr>
    <w:tblStylePr w:type="lastRow">
      <w:rPr>
        <w:sz w:val="22"/>
      </w:rPr>
      <w:tcPr>
        <w:shd w:val="clear" w:color="ffffff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9e2f2" w:themeFill="accent5" w:themeFillTint="34"/>
      </w:tcPr>
    </w:tblStylePr>
    <w:tblStylePr w:type="band2Vert">
      <w:rPr>
        <w:sz w:val="22"/>
      </w:rPr>
      <w:tcPr>
        <w:shd w:val="clear" w:color="ffffff" w:fill="d9e2f2" w:themeFill="accent5" w:themeFillTint="34"/>
      </w:tcPr>
    </w:tblStylePr>
    <w:tblStylePr w:type="firstCol">
      <w:rPr>
        <w:sz w:val="22"/>
      </w:rPr>
      <w:tcPr>
        <w:shd w:val="clear" w:color="ffffff" w:fill="4472c4" w:themeFill="accent5"/>
      </w:tcPr>
    </w:tblStylePr>
    <w:tblStylePr w:type="firstRow">
      <w:rPr>
        <w:sz w:val="22"/>
      </w:rPr>
      <w:tcPr>
        <w:shd w:val="clear" w:color="ffffff" w:fill="4472c4" w:themeFill="accent5"/>
      </w:tcPr>
    </w:tblStylePr>
    <w:tblStylePr w:type="lastCol">
      <w:rPr>
        <w:sz w:val="22"/>
      </w:rPr>
      <w:tcPr>
        <w:shd w:val="clear" w:color="ffffff" w:fill="4472c4" w:themeFill="accent5"/>
      </w:tcPr>
    </w:tblStylePr>
    <w:tblStylePr w:type="lastRow">
      <w:rPr>
        <w:sz w:val="22"/>
      </w:rPr>
      <w:tcPr>
        <w:shd w:val="clear" w:color="ffffff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2efd8" w:themeFill="accent6" w:themeFillTint="34"/>
      </w:tcPr>
    </w:tblStylePr>
    <w:tblStylePr w:type="band2Vert">
      <w:rPr>
        <w:sz w:val="22"/>
      </w:rPr>
      <w:tcPr>
        <w:shd w:val="clear" w:color="ffffff" w:fill="e2efd8" w:themeFill="accent6" w:themeFillTint="34"/>
      </w:tcPr>
    </w:tblStylePr>
    <w:tblStylePr w:type="firstCol">
      <w:rPr>
        <w:sz w:val="22"/>
      </w:rPr>
      <w:tcPr>
        <w:shd w:val="clear" w:color="ffffff" w:fill="70ad47" w:themeFill="accent6"/>
      </w:tcPr>
    </w:tblStylePr>
    <w:tblStylePr w:type="firstRow">
      <w:rPr>
        <w:sz w:val="22"/>
      </w:rPr>
      <w:tcPr>
        <w:shd w:val="clear" w:color="ffffff" w:fill="70ad47" w:themeFill="accent6"/>
      </w:tcPr>
    </w:tblStylePr>
    <w:tblStylePr w:type="lastCol">
      <w:rPr>
        <w:sz w:val="22"/>
      </w:rPr>
      <w:tcPr>
        <w:shd w:val="clear" w:color="ffffff" w:fill="70ad47" w:themeFill="accent6"/>
      </w:tcPr>
    </w:tblStylePr>
    <w:tblStylePr w:type="lastRow">
      <w:rPr>
        <w:sz w:val="22"/>
      </w:rPr>
      <w:tcPr>
        <w:shd w:val="clear" w:color="ffffff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832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 pitchFamily="0" charset="1"/>
        <a:ea typeface="Liberation Sans" pitchFamily="0" charset="1"/>
        <a:cs typeface="Liberation Sans" pitchFamily="0" charset="1"/>
      </a:majorFont>
      <a:minorFont>
        <a:latin typeface="Liberation Sans" pitchFamily="0" charset="1"/>
        <a:ea typeface="Liberation Sans" pitchFamily="0" charset="1"/>
        <a:cs typeface="Liberation Sans" pitchFamily="0" charset="1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haracters>2087</Characters>
  <CharactersWithSpaces>2335</CharactersWithSpaces>
  <Pages>1</Pages>
  <Paragraphs>10</Paragraphs>
  <Template>Normal.dotm</Template>
  <TotalTime>6</TotalTime>
  <Words>258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danilova_aa</cp:lastModifiedBy>
  <cp:revision>6</cp:revision>
  <dcterms:modified xsi:type="dcterms:W3CDTF">2026-09-21T10:16:35Z</dcterms:modified>
</cp:coreProperties>
</file>