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Normal"/>
        <w:tabs>
          <w:tab w:val="clear" w:pos="708"/>
          <w:tab w:val="left" w:pos="142" w:leader="none"/>
          <w:tab w:val="left" w:pos="284" w:leader="none"/>
          <w:tab w:val="left" w:pos="851" w:leader="none"/>
        </w:tabs>
        <w:spacing w:before="0"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Приложение 2</w:t>
      </w:r>
    </w:p>
    <w:p>
      <w:pPr>
        <w:pStyle w:val="Normal"/>
        <w:tabs>
          <w:tab w:val="clear" w:pos="708"/>
          <w:tab w:val="left" w:pos="142" w:leader="none"/>
          <w:tab w:val="left" w:pos="284" w:leader="none"/>
          <w:tab w:val="left" w:pos="851" w:leader="none"/>
        </w:tabs>
        <w:spacing w:before="0"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Положению о региональном </w:t>
      </w:r>
    </w:p>
    <w:p>
      <w:pPr>
        <w:pStyle w:val="Normal"/>
        <w:tabs>
          <w:tab w:val="clear" w:pos="708"/>
          <w:tab w:val="left" w:pos="142" w:leader="none"/>
          <w:tab w:val="left" w:pos="284" w:leader="none"/>
          <w:tab w:val="left" w:pos="851" w:leader="none"/>
        </w:tabs>
        <w:spacing w:before="0"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государственном контроле </w:t>
      </w:r>
    </w:p>
    <w:p>
      <w:pPr>
        <w:pStyle w:val="Normal"/>
        <w:tabs>
          <w:tab w:val="clear" w:pos="708"/>
          <w:tab w:val="left" w:pos="142" w:leader="none"/>
          <w:tab w:val="left" w:pos="284" w:leader="none"/>
          <w:tab w:val="left" w:pos="851" w:leader="none"/>
        </w:tabs>
        <w:spacing w:before="0"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(надзоре) в области продажи </w:t>
      </w:r>
    </w:p>
    <w:p>
      <w:pPr>
        <w:pStyle w:val="Normal"/>
        <w:tabs>
          <w:tab w:val="clear" w:pos="708"/>
          <w:tab w:val="left" w:pos="142" w:leader="none"/>
          <w:tab w:val="left" w:pos="284" w:leader="none"/>
          <w:tab w:val="left" w:pos="851" w:leader="none"/>
        </w:tabs>
        <w:spacing w:before="0"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безалкогольных тонизирующих </w:t>
      </w:r>
    </w:p>
    <w:p>
      <w:pPr>
        <w:pStyle w:val="Normal"/>
        <w:tabs>
          <w:tab w:val="clear" w:pos="708"/>
          <w:tab w:val="left" w:pos="142" w:leader="none"/>
          <w:tab w:val="left" w:pos="284" w:leader="none"/>
          <w:tab w:val="left" w:pos="851" w:leader="none"/>
        </w:tabs>
        <w:spacing w:before="0"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напитков (в том числе энергетических) </w:t>
      </w:r>
    </w:p>
    <w:p>
      <w:pPr>
        <w:pStyle w:val="Normal"/>
        <w:tabs>
          <w:tab w:val="clear" w:pos="708"/>
          <w:tab w:val="left" w:pos="142" w:leader="none"/>
          <w:tab w:val="left" w:pos="284" w:leader="none"/>
          <w:tab w:val="left" w:pos="851" w:leader="none"/>
        </w:tabs>
        <w:spacing w:before="0"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Республики Мордовия</w:t>
      </w:r>
    </w:p>
    <w:p>
      <w:pPr>
        <w:pStyle w:val="Normal"/>
        <w:tabs>
          <w:tab w:val="clear" w:pos="708"/>
          <w:tab w:val="left" w:pos="142" w:leader="none"/>
          <w:tab w:val="left" w:pos="284" w:leader="none"/>
          <w:tab w:val="left" w:pos="851" w:leader="none"/>
        </w:tabs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142" w:leader="none"/>
          <w:tab w:val="left" w:pos="284" w:leader="none"/>
          <w:tab w:val="left" w:pos="851" w:leader="none"/>
        </w:tabs>
        <w:spacing w:before="0" w:after="0" w:line="240" w:lineRule="auto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Перечень</w:t>
      </w:r>
    </w:p>
    <w:p>
      <w:pPr>
        <w:pStyle w:val="Normal"/>
        <w:tabs>
          <w:tab w:val="clear" w:pos="708"/>
          <w:tab w:val="left" w:pos="142" w:leader="none"/>
          <w:tab w:val="left" w:pos="284" w:leader="none"/>
          <w:tab w:val="left" w:pos="851" w:leader="none"/>
        </w:tabs>
        <w:spacing w:before="0" w:after="0" w:line="240" w:lineRule="auto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индикаторов риска нарушения обязательных требований, применяемых при осуществлении регионального государственного контроля (надзора) в области продажи безалкогольных тонизирующих напитков (в том числе энергетических) на территории Республики Мордовия</w:t>
      </w:r>
    </w:p>
    <w:p>
      <w:pPr>
        <w:pStyle w:val="Normal"/>
        <w:tabs>
          <w:tab w:val="clear" w:pos="708"/>
          <w:tab w:val="left" w:pos="142" w:leader="none"/>
          <w:tab w:val="left" w:pos="284" w:leader="none"/>
          <w:tab w:val="left" w:pos="851" w:leader="none"/>
        </w:tabs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142" w:leader="none"/>
          <w:tab w:val="left" w:pos="284" w:leader="none"/>
          <w:tab w:val="left" w:pos="851" w:leader="none"/>
        </w:tabs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142" w:leader="none"/>
          <w:tab w:val="left" w:pos="284" w:leader="none"/>
          <w:tab w:val="left" w:pos="851" w:leader="none"/>
        </w:tabs>
        <w:spacing w:before="0" w:after="0" w:line="240" w:lineRule="auto"/>
        <w:ind w:firstLine="709"/>
        <w:jc w:val="both"/>
        <w:rPr>
          <w:rFonts w:ascii="Times New Roman" w:hAnsi="Times New Roman" w:cs="Times New Roman"/>
          <w:strike w:val="0"/>
          <w:sz w:val="28"/>
          <w:szCs w:val="28"/>
        </w:rPr>
      </w:pPr>
      <w:r>
        <w:rPr>
          <w:rFonts w:ascii="Times New Roman" w:hAnsi="Times New Roman" w:cs="Times New Roman"/>
          <w:strike w:val="0"/>
          <w:sz w:val="28"/>
          <w:szCs w:val="28"/>
        </w:rPr>
        <w:t xml:space="preserve">1) Получение от государственных органов, органов местного самоуправления в Республике Мордовия, организаций, граждан и средств массовой информации и (или) общедоступных информационных источников в ходе профилактических мероприятий и контрольных (надзорных) мероприятий без взаимодействия с контролируемыми лицами в течение шести месяцев подряд двух или более сообщений о распитии несовершеннолетними безалкогольных тонизирующих напитков (в том числе энергетических) в здании, помещении, сооружении, на территории, которыми контролируемое лицо владеет и (или) пользуется для осуществления деятельности по розничной продаже безалкогольных тонизирующих напитков (в том числе энергетических) либо в 5 м от входа в такое здание, помещение, сооружение, на такую территорию;</w:t>
      </w:r>
    </w:p>
    <w:p>
      <w:pPr>
        <w:pStyle w:val="Normal"/>
        <w:tabs>
          <w:tab w:val="clear" w:pos="708"/>
          <w:tab w:val="left" w:pos="142" w:leader="none"/>
          <w:tab w:val="left" w:pos="284" w:leader="none"/>
          <w:tab w:val="left" w:pos="851" w:leader="none"/>
        </w:tabs>
        <w:spacing w:before="0" w:after="0" w:line="240" w:lineRule="auto"/>
        <w:ind w:firstLine="709"/>
        <w:jc w:val="both"/>
        <w:rPr>
          <w:rFonts w:ascii="Times New Roman" w:hAnsi="Times New Roman" w:cs="Times New Roman"/>
          <w:strike w:val="0"/>
          <w:sz w:val="28"/>
          <w:szCs w:val="28"/>
        </w:rPr>
      </w:pPr>
      <w:r>
        <w:rPr>
          <w:rFonts w:ascii="Times New Roman" w:hAnsi="Times New Roman" w:cs="Times New Roman"/>
          <w:strike w:val="0"/>
          <w:sz w:val="28"/>
          <w:szCs w:val="28"/>
        </w:rPr>
        <w:t xml:space="preserve">2) получение от государственных органов, органов местного самоуправления в Республике Мордовия, организаций, граждан и средств массовой информации и (или) общедоступных информационных источников в ходе профилактических мероприятий и контрольных (надзорных) мероприятий без взаимодействия с контролируемыми лицами в течение шести месяцев подряд двух или более сообщений о распитии гражданами безалкогольных тонизирующих напитков (в том числе энергетических) в зданиях, строениях, сооружениях, помещениях, используемых для непосредственного осуществления образовательной деятельности, медицинской деятельности, деятельности в области культуры, физической культуры и спорта, либо в 5 м от входа в такое здание, строение, сооружение, помещение (определяется путем измерения кратчайшего расстояния по прямой линии).</w:t>
      </w:r>
    </w:p>
    <w:p>
      <w:pPr>
        <w:pStyle w:val="Normal"/>
        <w:tabs>
          <w:tab w:val="clear" w:pos="708"/>
          <w:tab w:val="left" w:pos="142" w:leader="none"/>
          <w:tab w:val="left" w:pos="284" w:leader="none"/>
          <w:tab w:val="left" w:pos="851" w:leader="none"/>
        </w:tabs>
        <w:spacing w:before="0"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Normal"/>
        <w:tabs>
          <w:tab w:val="clear" w:pos="708"/>
          <w:tab w:val="left" w:pos="142" w:leader="none"/>
          <w:tab w:val="left" w:pos="284" w:leader="none"/>
          <w:tab w:val="left" w:pos="851" w:leader="none"/>
        </w:tabs>
        <w:spacing w:before="0"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/>
    </w:p>
    <w:sectPr>
      <w:headerReference w:type="even" r:id="rId6"/>
      <w:headerReference w:type="default" r:id="rId7"/>
      <w:headerReference w:type="first" r:id="rId8"/>
      <w:type w:val="nextPage"/>
      <w:pgSz w:w="11906" w:h="16838"/>
      <w:pgMar w:top="1134" w:right="851" w:bottom="1134" w:left="1701" w:header="284" w:footer="0" w:gutter="0"/>
      <w:cols w:space="708"/>
      <w:docGrid w:linePitch="36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Liberation Sans">
    <w:panose1 w:val="020B0604020202020204"/>
  </w:font>
  <w:font w:name="Courier New">
    <w:panose1 w:val="02070309020205020404"/>
  </w:font>
  <w:font w:name="Microsoft YaHei">
    <w:panose1 w:val="020B0503020203020204"/>
  </w:font>
  <w:font w:name="Times New Roman">
    <w:panose1 w:val="02020603050405020304"/>
  </w:font>
  <w:font w:name="Tahoma">
    <w:panose1 w:val="020B0604030504040204"/>
  </w:font>
  <w:font w:name="Times New Roman CYR">
    <w:panose1 w:val="02020603050405020304"/>
  </w:font>
  <w:font w:name="Calibri">
    <w:panose1 w:val="020F0502020204030204"/>
  </w:font>
  <w:font w:name="Cambria">
    <w:panose1 w:val="02040503050406030204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Header"/>
    </w:pP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:id w:val="-2043815596"/>
      <w:docPartObj>
        <w:docPartGallery w:val="Page Numbers (Top of Page)"/>
        <w:docPartUnique w:val="true"/>
      </w:docPartObj>
    </w:sdtPr>
    <w:sdtContent>
      <w:p>
        <w:pPr>
          <w:pStyle w:val="Header"/>
          <w:jc w:val="center"/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 xml:space="preserve">4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>
    <w:pPr>
      <w:pStyle w:val="Header"/>
    </w:pPr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Header"/>
      <w:jc w:val="center"/>
    </w:pPr>
    <w:r/>
  </w:p>
  <w:p>
    <w:pPr>
      <w:pStyle w:val="Header"/>
    </w:pPr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 w:val="true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zh-CN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eastAsia="Calibri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pacing w:before="0" w:after="200" w:line="276" w:lineRule="auto"/>
      <w:jc w:val="left"/>
    </w:pPr>
    <w:rPr>
      <w:rFonts w:ascii="Calibri" w:hAnsi="Calibri" w:eastAsia="Calibri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uiPriority w:val="99"/>
    <w:qFormat/>
    <w:pPr>
      <w:widowControl w:val="off"/>
      <w:spacing w:before="108" w:after="108" w:line="240" w:lineRule="auto"/>
      <w:jc w:val="center"/>
      <w:outlineLvl w:val="0"/>
    </w:pPr>
    <w:rPr>
      <w:rFonts w:ascii="Times New Roman CYR" w:hAnsi="Times New Roman CYR" w:cs="Times New Roman CYR" w:eastAsiaTheme="minorEastAsia"/>
      <w:b/>
      <w:bCs/>
      <w:color w:val="26282f"/>
      <w:sz w:val="24"/>
      <w:szCs w:val="24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styleId="Style14" w:customStyle="1">
    <w:name w:val="Верхний колонтитул Знак"/>
    <w:basedOn w:val="DefaultParagraphFont"/>
    <w:uiPriority w:val="99"/>
    <w:qFormat/>
  </w:style>
  <w:style w:type="character" w:styleId="Style15" w:customStyle="1">
    <w:name w:val="Нижний колонтитул Знак"/>
    <w:basedOn w:val="DefaultParagraphFont"/>
    <w:uiPriority w:val="99"/>
    <w:qFormat/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styleId="Emphasis">
    <w:name w:val="Emphasis"/>
    <w:uiPriority w:val="20"/>
    <w:qFormat/>
    <w:rPr>
      <w:i/>
      <w:iCs/>
    </w:rPr>
  </w:style>
  <w:style w:type="character" w:styleId="1" w:customStyle="1">
    <w:name w:val="Заголовок 1 Знак"/>
    <w:basedOn w:val="DefaultParagraphFont"/>
    <w:uiPriority w:val="99"/>
    <w:qFormat/>
    <w:rPr>
      <w:rFonts w:ascii="Times New Roman CYR" w:hAnsi="Times New Roman CYR" w:cs="Times New Roman CYR" w:eastAsiaTheme="minorEastAsia"/>
      <w:b/>
      <w:bCs/>
      <w:color w:val="26282f"/>
      <w:sz w:val="24"/>
      <w:szCs w:val="24"/>
      <w:lang w:eastAsia="ru-RU"/>
    </w:rPr>
  </w:style>
  <w:style w:type="character" w:styleId="Style16" w:customStyle="1">
    <w:name w:val="Цветовое выделение"/>
    <w:uiPriority w:val="99"/>
    <w:qFormat/>
    <w:rPr>
      <w:b/>
      <w:color w:val="26282f"/>
    </w:rPr>
  </w:style>
  <w:style w:type="character" w:styleId="Style17" w:customStyle="1">
    <w:name w:val="Гипертекстовая ссылка"/>
    <w:basedOn w:val="Style16"/>
    <w:uiPriority w:val="99"/>
    <w:qFormat/>
    <w:rPr>
      <w:rFonts w:cs="Times New Roman"/>
      <w:b w:val="0"/>
      <w:color w:val="106bbe"/>
    </w:rPr>
  </w:style>
  <w:style w:type="character" w:styleId="highlightsearch" w:customStyle="1">
    <w:name w:val="highlightsearch"/>
    <w:basedOn w:val="DefaultParagraphFont"/>
    <w:qFormat/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character" w:styleId="Style18" w:customStyle="1">
    <w:name w:val="Текст примечания Знак"/>
    <w:basedOn w:val="DefaultParagraphFont"/>
    <w:uiPriority w:val="99"/>
    <w:semiHidden/>
    <w:qFormat/>
    <w:rPr>
      <w:sz w:val="20"/>
      <w:szCs w:val="20"/>
    </w:rPr>
  </w:style>
  <w:style w:type="character" w:styleId="Style19" w:customStyle="1">
    <w:name w:val="Тема примечания Знак"/>
    <w:basedOn w:val="Style18"/>
    <w:link w:val="annotationsubject"/>
    <w:uiPriority w:val="99"/>
    <w:semiHidden/>
    <w:qFormat/>
    <w:rPr>
      <w:b/>
      <w:bCs/>
      <w:sz w:val="20"/>
      <w:szCs w:val="20"/>
    </w:rPr>
  </w:style>
  <w:style w:type="character" w:styleId="11" w:customStyle="1">
    <w:name w:val="Неразрешенное упоминание1"/>
    <w:basedOn w:val="DefaultParagraphFont"/>
    <w:uiPriority w:val="99"/>
    <w:semiHidden/>
    <w:unhideWhenUsed/>
    <w:qFormat/>
    <w:rPr>
      <w:color w:val="605e5c"/>
      <w:shd w:val="clear" w:fill="e1dfdd"/>
    </w:rPr>
  </w:style>
  <w:style w:type="character" w:styleId="document-info-data" w:customStyle="1">
    <w:name w:val="document-info-data"/>
    <w:basedOn w:val="DefaultParagraphFont"/>
    <w:qFormat/>
  </w:style>
  <w:style w:type="character" w:styleId="HTML" w:customStyle="1">
    <w:name w:val="Стандартный HTML Знак"/>
    <w:basedOn w:val="DefaultParagraphFont"/>
    <w:link w:val="HTMLPreformatted"/>
    <w:uiPriority w:val="99"/>
    <w:semiHidden/>
    <w:qFormat/>
    <w:rPr>
      <w:rFonts w:ascii="Courier New" w:hAnsi="Courier New" w:eastAsia="Times New Roman" w:cs="Courier New"/>
      <w:sz w:val="20"/>
      <w:szCs w:val="20"/>
      <w:lang w:eastAsia="ru-RU"/>
    </w:rPr>
  </w:style>
  <w:style w:type="character" w:styleId="s10" w:customStyle="1">
    <w:name w:val="s_10"/>
    <w:basedOn w:val="DefaultParagraphFont"/>
    <w:qFormat/>
  </w:style>
  <w:style w:type="paragraph" w:styleId="Style20">
    <w:name w:val="Заголовок"/>
    <w:basedOn w:val="Normal"/>
    <w:next w:val="BodyText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before="0" w:after="14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Arial"/>
    </w:rPr>
  </w:style>
  <w:style w:type="paragraph" w:styleId="12" w:customStyle="1">
    <w:name w:val="Заголовок1"/>
    <w:basedOn w:val="Normal"/>
    <w:next w:val="BodyText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pPr>
      <w:spacing w:before="0" w:after="0" w:line="240" w:lineRule="auto"/>
    </w:pPr>
    <w:rPr>
      <w:rFonts w:ascii="Tahoma" w:hAnsi="Tahoma" w:cs="Tahoma"/>
      <w:sz w:val="16"/>
      <w:szCs w:val="16"/>
    </w:rPr>
  </w:style>
  <w:style w:type="paragraph" w:styleId="Style22" w:customStyle="1">
    <w:name w:val="Колонтитул"/>
    <w:basedOn w:val="Normal"/>
    <w:qFormat/>
  </w:style>
  <w:style w:type="paragraph" w:styleId="Style23">
    <w:name w:val="Колонтитулы"/>
    <w:basedOn w:val="Normal"/>
    <w:qFormat/>
  </w:style>
  <w:style w:type="paragraph" w:styleId="Header">
    <w:name w:val="header"/>
    <w:basedOn w:val="Normal"/>
    <w:link w:val="Style14"/>
    <w:uiPriority w:val="99"/>
    <w:unhideWhenUsed/>
    <w:pPr>
      <w:tabs>
        <w:tab w:val="clear" w:pos="708"/>
        <w:tab w:val="center" w:pos="4677" w:leader="none"/>
        <w:tab w:val="right" w:pos="9355" w:leader="none"/>
      </w:tabs>
      <w:spacing w:before="0" w:after="0" w:line="240" w:lineRule="auto"/>
    </w:pPr>
  </w:style>
  <w:style w:type="paragraph" w:styleId="Footer">
    <w:name w:val="footer"/>
    <w:basedOn w:val="Normal"/>
    <w:link w:val="Style15"/>
    <w:uiPriority w:val="99"/>
    <w:unhideWhenUsed/>
    <w:pPr>
      <w:tabs>
        <w:tab w:val="clear" w:pos="708"/>
        <w:tab w:val="center" w:pos="4677" w:leader="none"/>
        <w:tab w:val="right" w:pos="9355" w:leader="none"/>
      </w:tabs>
      <w:spacing w:before="0" w:after="0" w:line="240" w:lineRule="auto"/>
    </w:pPr>
  </w:style>
  <w:style w:type="paragraph" w:styleId="NoSpacing">
    <w:name w:val="No Spacing"/>
    <w:uiPriority w:val="1"/>
    <w:qFormat/>
    <w:pPr>
      <w:widowControl/>
      <w:spacing w:before="0" w:after="0"/>
      <w:jc w:val="left"/>
    </w:pPr>
    <w:rPr>
      <w:rFonts w:ascii="Calibri" w:hAnsi="Calibri" w:eastAsia="Calibri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s1" w:customStyle="1">
    <w:name w:val="s_1"/>
    <w:basedOn w:val="Normal"/>
    <w:qFormat/>
    <w:pPr>
      <w:spacing w:beforeAutospacing="1" w:afterAutospacing="1" w:line="240" w:lineRule="auto"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ListParagraph">
    <w:name w:val="List Paragraph"/>
    <w:basedOn w:val="Normal"/>
    <w:uiPriority w:val="34"/>
    <w:qFormat/>
    <w:pPr>
      <w:spacing w:before="0" w:after="200"/>
      <w:ind w:left="720"/>
      <w:contextualSpacing/>
    </w:pPr>
  </w:style>
  <w:style w:type="paragraph" w:styleId="Style24" w:customStyle="1">
    <w:name w:val="Нормальный"/>
    <w:basedOn w:val="Normal"/>
    <w:qFormat/>
    <w:pPr>
      <w:spacing w:before="0" w:after="0" w:line="240" w:lineRule="auto"/>
      <w:ind w:firstLine="720"/>
      <w:jc w:val="both"/>
    </w:pPr>
    <w:rPr>
      <w:rFonts w:ascii="Times New Roman" w:hAnsi="Times New Roman" w:eastAsiaTheme="minorEastAsia"/>
      <w:sz w:val="24"/>
      <w:lang w:eastAsia="ru-RU"/>
    </w:rPr>
  </w:style>
  <w:style w:type="paragraph" w:styleId="Style25" w:customStyle="1">
    <w:name w:val="Нормальный (таблица)"/>
    <w:basedOn w:val="Normal"/>
    <w:next w:val="Normal"/>
    <w:uiPriority w:val="99"/>
    <w:qFormat/>
    <w:pPr>
      <w:widowControl w:val="off"/>
      <w:spacing w:before="0" w:after="0" w:line="240" w:lineRule="auto"/>
      <w:jc w:val="both"/>
    </w:pPr>
    <w:rPr>
      <w:rFonts w:ascii="Times New Roman CYR" w:hAnsi="Times New Roman CYR" w:cs="Times New Roman CYR" w:eastAsiaTheme="minorEastAsia"/>
      <w:sz w:val="24"/>
      <w:szCs w:val="24"/>
      <w:lang w:eastAsia="ru-RU"/>
    </w:rPr>
  </w:style>
  <w:style w:type="paragraph" w:styleId="Style26" w:customStyle="1">
    <w:name w:val="Таблицы (моноширинный)"/>
    <w:basedOn w:val="Normal"/>
    <w:next w:val="Normal"/>
    <w:uiPriority w:val="99"/>
    <w:qFormat/>
    <w:pPr>
      <w:widowControl w:val="off"/>
      <w:spacing w:before="0" w:after="0" w:line="240" w:lineRule="auto"/>
    </w:pPr>
    <w:rPr>
      <w:rFonts w:ascii="Courier New" w:hAnsi="Courier New" w:cs="Courier New" w:eastAsiaTheme="minorEastAsia"/>
      <w:sz w:val="24"/>
      <w:szCs w:val="24"/>
      <w:lang w:eastAsia="ru-RU"/>
    </w:rPr>
  </w:style>
  <w:style w:type="paragraph" w:styleId="Style27" w:customStyle="1">
    <w:name w:val="Информация об изменениях"/>
    <w:basedOn w:val="Normal"/>
    <w:next w:val="Normal"/>
    <w:uiPriority w:val="99"/>
    <w:qFormat/>
    <w:pPr>
      <w:widowControl w:val="off"/>
      <w:spacing w:before="180" w:after="0" w:line="240" w:lineRule="auto"/>
      <w:ind w:left="360" w:right="360"/>
      <w:jc w:val="both"/>
    </w:pPr>
    <w:rPr>
      <w:rFonts w:ascii="Times New Roman CYR" w:hAnsi="Times New Roman CYR" w:cs="Times New Roman CYR" w:eastAsiaTheme="minorEastAsia"/>
      <w:color w:val="353842"/>
      <w:sz w:val="20"/>
      <w:szCs w:val="20"/>
      <w:lang w:eastAsia="ru-RU"/>
    </w:rPr>
  </w:style>
  <w:style w:type="paragraph" w:styleId="Style28" w:customStyle="1">
    <w:name w:val="Подзаголовок для информации об изменениях"/>
    <w:basedOn w:val="Normal"/>
    <w:next w:val="Normal"/>
    <w:uiPriority w:val="99"/>
    <w:qFormat/>
    <w:pPr>
      <w:widowControl w:val="off"/>
      <w:spacing w:before="0" w:after="0" w:line="240" w:lineRule="auto"/>
      <w:ind w:firstLine="720"/>
      <w:jc w:val="both"/>
    </w:pPr>
    <w:rPr>
      <w:rFonts w:ascii="Times New Roman CYR" w:hAnsi="Times New Roman CYR" w:cs="Times New Roman CYR" w:eastAsiaTheme="minorEastAsia"/>
      <w:b/>
      <w:bCs/>
      <w:color w:val="353842"/>
      <w:sz w:val="20"/>
      <w:szCs w:val="20"/>
      <w:lang w:eastAsia="ru-RU"/>
    </w:rPr>
  </w:style>
  <w:style w:type="paragraph" w:styleId="CommentText">
    <w:name w:val="annotation text"/>
    <w:basedOn w:val="Normal"/>
    <w:link w:val="Style18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tyle19"/>
    <w:uiPriority w:val="99"/>
    <w:semiHidden/>
    <w:unhideWhenUsed/>
    <w:qFormat/>
    <w:rPr>
      <w:b/>
      <w:bCs/>
    </w:rPr>
  </w:style>
  <w:style w:type="paragraph" w:styleId="HTMLPreformatted">
    <w:name w:val="HTML Preformatted"/>
    <w:basedOn w:val="Normal"/>
    <w:link w:val="HTML"/>
    <w:uiPriority w:val="99"/>
    <w:semiHidden/>
    <w:unhideWhenUsed/>
    <w:qFormat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before="0" w:after="0" w:line="240" w:lineRule="auto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user" w:customStyle="1">
    <w:name w:val="Сноска (user)"/>
    <w:basedOn w:val="Normal"/>
    <w:next w:val="Normal"/>
    <w:uiPriority w:val="99"/>
    <w:qFormat/>
    <w:pPr>
      <w:widowControl w:val="off"/>
      <w:spacing w:before="0" w:after="0" w:line="240" w:lineRule="auto"/>
      <w:ind w:firstLine="720"/>
      <w:jc w:val="both"/>
    </w:pPr>
    <w:rPr>
      <w:rFonts w:ascii="Times New Roman CYR" w:hAnsi="Times New Roman CYR" w:cs="Times New Roman CYR" w:eastAsiaTheme="minorEastAsia"/>
      <w:sz w:val="20"/>
      <w:szCs w:val="20"/>
      <w:lang w:eastAsia="ru-RU"/>
    </w:rPr>
  </w:style>
  <w:style w:type="paragraph" w:styleId="user1" w:customStyle="1">
    <w:name w:val="Комментарий (user)"/>
    <w:basedOn w:val="Normal"/>
    <w:next w:val="Normal"/>
    <w:uiPriority w:val="99"/>
    <w:qFormat/>
    <w:pPr>
      <w:widowControl w:val="off"/>
      <w:spacing w:before="75" w:after="0" w:line="240" w:lineRule="auto"/>
      <w:ind w:left="170"/>
      <w:jc w:val="both"/>
    </w:pPr>
    <w:rPr>
      <w:rFonts w:ascii="Times New Roman CYR" w:hAnsi="Times New Roman CYR" w:cs="Times New Roman CYR" w:eastAsiaTheme="minorEastAsia"/>
      <w:color w:val="353842"/>
      <w:sz w:val="24"/>
      <w:szCs w:val="24"/>
      <w:lang w:eastAsia="ru-RU"/>
    </w:rPr>
  </w:style>
  <w:style w:type="paragraph" w:styleId="Style29" w:customStyle="1">
    <w:name w:val="Информация о версии"/>
    <w:basedOn w:val="user1"/>
    <w:next w:val="Normal"/>
    <w:uiPriority w:val="99"/>
    <w:qFormat/>
    <w:rPr>
      <w:i/>
      <w:iCs/>
    </w:rPr>
  </w:style>
  <w:style w:type="numbering" w:styleId="Style30" w:default="1">
    <w:name w:val="Без списка"/>
    <w:uiPriority w:val="99"/>
    <w:semiHidden/>
    <w:unhideWhenUsed/>
    <w:qFormat/>
  </w:style>
  <w:style w:type="table" w:styleId="a1" w:default="1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af4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0" w:customStyle="1">
    <w:name w:val="Заголовок 1 Знак1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customXml" Target="../customXml/item1.xml" /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Arial"/>
        <a:cs typeface="Arial"/>
      </a:majorFont>
      <a:minorFont>
        <a:latin typeface="Calibri" pitchFamily="0" charset="1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357709-4B02-4755-803C-AD855A557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haracters>1795</Characters>
  <CharactersWithSpaces>2028</CharactersWithSpaces>
  <Pages>1</Pages>
  <Paragraphs>12</Paragraphs>
  <Template>Normal</Template>
  <TotalTime>3</TotalTime>
  <Words>240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</dc:creator>
  <dc:description/>
  <dc:language>ru-RU</dc:language>
  <cp:lastModifiedBy>danilova_aa</cp:lastModifiedBy>
  <cp:revision>3</cp:revision>
  <cp:lastPrinted>2025-07-08T14:29:00Z</cp:lastPrinted>
  <dcterms:created xsi:type="dcterms:W3CDTF">2025-07-15T13:27:00Z</dcterms:created>
  <dcterms:modified xsi:type="dcterms:W3CDTF">2026-09-21T10:01:08Z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