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afterAutospacing="0" w:line="240" w:lineRule="auto"/>
        <w:ind w:left="0" w:righ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 xml:space="preserve">Обязательные требования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 xml:space="preserve">, оценка соблюдения которых является предметом контроля, а также информация о мерах ответственности, применяемых при нарушении обязательных требований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Обязательные требовани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я, оценка соблюдения которых является предметом регионального контроля (надзора) в сфере туристкой индустрии установлены статьей 19.5 Федерального закона от 24 ноября 1996 г. № 132-ФЗ «Об основах туристкой деятельности» (далее – Федеральный закон № 132-ФЗ)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Предметом регионального государственного контроля (надзора) является соблюдение юридическими лицами, индивидуальными предпринимателями, физическими лицами обязательных требований, установленных  Федеральным законом № 132-ФЗ и принимаемыми в соответствии с ним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нормативными правовыми актами и указанных в </w:t>
      </w:r>
      <w:hyperlink r:id="rId8" w:tooltip="https://internet.garant.ru/#/document/136248/entry/1953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частях третьей - шестой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статьи 19.5 Федерального закона № 132-ФЗ.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 отношении деятельности, связанной с использованием средств размещения, в отношении которых распространяется действие </w:t>
      </w:r>
      <w:hyperlink r:id="rId9" w:tooltip="https://internet.garant.ru/#/document/136248/entry/51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статьи 5.1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Федерального закона № 132-ФЗ, за исключением санаторно-курортных организаций, подведомственных федеральным органам исполнительной власти, к предмету регионального государственного контроля (надзора) относится соблюдение следующих обязательных требований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наличие сведений о средстве размещения в реестре классифицированных средств размещения;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соответствие средства размещения требованиям к соответствующему типу средств размещения, установленным положением о классификации средств размещения;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соответствие средства размещения типу и (или) типу и категории, указанным в реестре классифицированных средств размещения;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соответствие типа и (или) категории средства размещения, используемых в рекламе, названии средства размещения, а также в деятельности, связанной с использованием средства размещения, типу и (или) категории, указанным в реестре классифицированных средств ра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змещения;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наличие ссылки в информационно-телекоммуникационной сети "Интернет" на запись в реестре классифицированных средств размещения, содержащую сведения о средстве размещения, а также соответствие сведений о средстве размещения, представленных в информации о пре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доставлении услуг средства размещения, гостиничных услуг на сайте владельца агрегатора информации об услугах или владельца сервиса размещения объявлений в информационно-телекоммуникационной сети "Интернет", аналогичным сведениям о средстве размещения, указ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анным в реестре классифицированных средств размещения;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соблюдение правил оказания гостиничных услуг, услуг средств размещения (при наличии) (за исключением требований, относящихся к предмету федерального государственного контроля (надзора) в области защиты прав потребителей);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соблюдение </w:t>
      </w:r>
      <w:hyperlink r:id="rId10" w:tooltip="https://internet.garant.ru/#/document/414325615/entry/1000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порядка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обеспечения условий доступности для инвалидов объектов туристской индустрии, подлежащих классификации в соответствии с законодательством Российской Федерации о туристской деятельности (за исключением объектов, относящихся к средствам размещения в соответс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твии с </w:t>
      </w:r>
      <w:hyperlink r:id="rId11" w:tooltip="https://internet.garant.ru/#/document/412133560/entry/0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Федеральным законом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от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7 июня 2025 года         № 127-ФЗ «О проведении эксперимента по предоставлению услуг гостевых домов», и предоставляемых в них услуг), объема и содержания мер по обеспечению условий доступности для инвалидов указанных объектов и предоставляемых в них услуг;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наличие средства размещения по адресу (месту нахождения) объекта недвижимости (здания, сооружения, помещения, земельного участка), в котором в соответствии со сведениями, содержащимися в реестре классифицированных средств размещения, осуществляется деятель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ность по предоставлению услуг средства размещения, гостиничных услуг.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 отношении деятельности, связанной с использованием горнолыжных трасс или пляжей, к предмету регионального государственного контроля (надзора) относится соблюдение обязательных требований в части соответствия категории горнолыжной трассы или категории пля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жа, используемых в рекламе, названии горнолыжной трассы или пляжа и деятельности, связанной с использованием горнолыжной трассы или пляжа, категории горнолыжной трассы или пляжа, указанным в реестре классифицированных горнолыжных трасс или реестре классифи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цированных пляжей, а также соблюдение </w:t>
      </w:r>
      <w:hyperlink r:id="rId12" w:tooltip="https://internet.garant.ru/#/document/414325615/entry/1000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порядка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обеспечения условий доступности для инвалидов объектов туристской индустрии, подлежащих классификации в соответствии с законодательством Российской Федерации о туристской деятельности, и предоставляемых в них услуг, объема и содержания мер по обеспечению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условий доступности для инвалидов указанных объектов и предоставляемых в них услуг.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 отношении деятельности экскурсоводов (гидов), гидов-переводчиков к предмету регионального государственного контроля (надзора) относится соблюдение следующих обязательных требований: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наличие действующей аттестации и нагрудной идентификационной карточки экскурсоводов (гидов) и гидов-переводчиков при оказании ими услуг;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соблюдение </w:t>
      </w:r>
      <w:hyperlink r:id="rId13" w:tooltip="https://internet.garant.ru/#/document/404780129/entry/1000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правил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оказания услуг экскурсоводом (гидом) и гидом-переводчиком (за исключением требований, относящихся к предмету федерального государственного контроля (надзора) в области защиты прав потребителей).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 отношении деятельности инструкторов-проводников к предмету регионального государственного контроля (надзора) относится соблюдение следующих обязательных требований: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наличие действующей аттестации и нагрудной идентификационной карточки у инструктора-проводника при оказании им услуг;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направление инструктором-проводником </w:t>
      </w:r>
      <w:hyperlink r:id="rId14" w:tooltip="https://internet.garant.ru/#/document/409179450/entry/2000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уведомления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о сопровождении туристов (экскурсантов) на туристском маршруте, требующем специального сопровождения;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сопровождение туристов (экскурсантов) инструктором-проводником при посещении (прохождении) туристских маршрутов, требующих специального сопровождения;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соблюдение </w:t>
      </w:r>
      <w:hyperlink r:id="rId15" w:tooltip="https://internet.garant.ru/#/document/409179448/entry/1000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правил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оказания услуг инструктора-проводника (за исключением требований, относящихся к предмету федерального государственного контроля (надзора) в области защиты прав потребителей).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spacing w:after="0" w:afterAutospacing="0" w:line="240" w:lineRule="auto"/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0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none"/>
        </w:rPr>
        <w:t xml:space="preserve">За нарушение обязательных требований, предусмотрена ответственность в соответствии со статьями 14.39 и 14.51 Кодекса об административных правонарушениях Российской Федерации.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567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Статья 14.39. Нарушение требований законодательства об оказании услуг средств размещения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1. Предоставление услуг средства размещения без включения сведений о средстве размещения в реестр классифицированных средств размещения либо предоставление услуг средства размещения, действие классификации которого прекращено, -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влечет наложение административного штрафа на должностных лиц в размере от пятидесяти тысяч до семидесяти тысяч рублей; на юридических лиц - от трехсот тысяч до четырехсот пятидесяти тысяч рублей.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2. Повторное совершение административного правонарушения, предусмотренного </w:t>
      </w:r>
      <w:hyperlink r:id="rId16" w:tooltip="https://internet.garant.ru/#/document/12125267/entry/143901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частью 1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настоящей статьи, либо невыполнение в установленный срок законного предписания органа (должностного лица), осуществляющего региональный государственный контроль (надзор) в сфере туристской индустрии, об устранении указанного нарушения законодательства -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влечет наложение административного штрафа на должностных лиц в размере от семидесяти тысяч до ста тысяч рублей; на юридических лиц - от одной сороковой до одной двадцать пятой совокупного размера суммы выручки от реализации всех товаров (работ, услуг) за к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алендарный год, предшествующий году, в котором было выявлено административное правонарушение, либо за предшествующую дате выявления административного правонарушения часть календарного года, в котором было выявлено административное правонарушение, если прав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онарушитель не осуществлял деятельность по реализации товаров (работ, услуг) в предшествующем календарном году, но не менее пятисот тысяч рублей.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3. Предоставление услуг средства размещения, не соответствующего </w:t>
      </w:r>
      <w:hyperlink r:id="rId17" w:tooltip="https://internet.garant.ru/#/document/411240735/entry/1200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требованиям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к соответствующему типу средств размещения, указанному в реестре классифицированных средств размещения, либо заключение договора о предоставлении услуг средства размещения или договора о предоставлении гостиничных услуг в период приостановления действия к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лассификации средства размещения -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влечет предупреждение или наложение административного штрафа на должностных лиц в размере от тридцати тысяч до сорока тысяч рублей; на юридических лиц - от ста тысяч до ста семидесяти тысяч рублей.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4. Повторное совершение административного правонарушения, предусмотренного </w:t>
      </w:r>
      <w:hyperlink r:id="rId18" w:tooltip="https://internet.garant.ru/#/document/12125267/entry/143903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частью 3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настоящей статьи, либо невыполнение в установленный срок законного предписания органа (должностного лица), осуществляющего региональный государственный контроль (надзор) в сфере туристской индустрии, об устранении указанного нарушения законодательства -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влечет наложение административного штрафа на должностных лиц в размере от сорока тысяч до шестидесяти тысяч рублей; на юридических лиц - от двухсот тысяч до трехсот тысяч рублей.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5. Использование в рекламе, названии средства размещения или в деятельности, связанной с использованием средства размещения, типа и (или) категории средства размещения, не соответствующих типу и (или) категории средства размещения, указанным в реестре клас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сифицированных средств размещения, -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влечет предупреждение или наложение административного штрафа на должностных лиц в размере от тридцати тысяч до сорока тысяч рублей; на юридических лиц - от ста тысяч до ста пятидесяти тысяч рублей.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6. Повторное совершение административного правонарушения, предусмотренного </w:t>
      </w:r>
      <w:hyperlink r:id="rId19" w:tooltip="https://internet.garant.ru/#/document/12125267/entry/143905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частью 5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настоящей статьи, либо невыполнение в установленный срок законного предписания органа (должностного лица), осуществляющего региональный государственный контроль (надзор) в сфере туристской индустрии, об устранении указанного нарушения законодательства -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влечет наложение административного штрафа на должностных лиц в размере от сорока тысяч до шестидесяти тысяч рублей; на юридических лиц - от двухсот тысяч до трехсот пятидесяти тысяч рублей.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7. Размещение владельцем средства размещения информации о предоставлении услуг средства размещения (в том числе в информационно-телекоммуникационной сети "Интернет") без указания идентификационного номера средства размещения, присвоенного в реестре классиф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ицированных средств размещения, и (или) ссылки в информационно-телекоммуникационной сети "Интернет" на запись в реестре классифицированных средств размещения, содержащую сведения о средстве размещения, -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влечет предупреждение или наложение административного штрафа на должностных лиц в размере от десяти тысяч до тридцати тысяч рублей; на юридических лиц - от тридцати тысяч до пятидесяти тысяч рублей.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8. Повторное совершение административного правонарушения, предусмотренного </w:t>
      </w:r>
      <w:hyperlink r:id="rId20" w:tooltip="https://internet.garant.ru/#/document/12125267/entry/143907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частью 7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настоящей статьи, либо невыполнение в установленный срок законного предписания органа (должностного лица), осуществляющего региональный государственный контроль (надзор) в сфере туристской индустрии, об устранении указанного нарушения законодательства -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пятидесяти тысяч до ста тысяч рублей.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Примечания: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1.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2. Для целей применения настоящей статьи выручка от реализации товаров (работ, услуг) определяется в соответствии со </w:t>
      </w:r>
      <w:hyperlink r:id="rId21" w:tooltip="https://internet.garant.ru/#/document/10900200/entry/249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статьей 249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Налогового кодекса Российской Федерации.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spacing w:after="0" w:afterAutospacing="0" w:line="240" w:lineRule="auto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Статья 14.51. Нарушение законодательства Российской Федерации о туристской деятельности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1. Осуществление туроператорской деятельности лицом, сведения о котором отсутствуют в едином федеральном реестре туроператоров, -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года; на юридических лиц - от пяти миллионов до десяти миллионов рублей.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2. Нарушение туроператором установленного </w:t>
      </w:r>
      <w:hyperlink r:id="rId22" w:tooltip="https://internet.garant.ru/#/document/136248/entry/1702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законодательством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порядка определения размера финансового обеспечения ответственности туроператора при осуществлении туроператорской деятельности либо непредставление сведений о туроператоре или представление недостоверных сведений в уполномоченный федеральный орган исполн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ительной власти в сфере туризма для внесения в единый федеральный реестр туроператоров изменений в сведения о туроператоре -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пятисот тысяч до одного миллиона рублей.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3. Осуществление туроператором, не являющимся членом объединения туроператоров в сфере выездного туризма, деятельности в сфере выездного туризма -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года; на юридических лиц - от одного миллиона до трех миллионов рублей.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4. Нарушение организацией, осуществляющей классификацию в сфере туристской индустрии, установленных </w:t>
      </w:r>
      <w:hyperlink r:id="rId23" w:tooltip="https://internet.garant.ru/#/document/136248/entry/5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законодательством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Российской Федерации о туристской деятельности требований к организациям, осуществляющим классификацию средств размещения, классификацию горнолыжных трасс, классификацию пляжей, либо требований </w:t>
      </w:r>
      <w:hyperlink r:id="rId24" w:tooltip="https://internet.garant.ru/#/document/411240735/entry/1000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положения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о классификации средств размещения, </w:t>
      </w:r>
      <w:hyperlink r:id="rId25" w:tooltip="https://internet.garant.ru/#/document/411240743/entry/1000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правил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классификации средств размещения или </w:t>
      </w:r>
      <w:hyperlink r:id="rId26" w:tooltip="https://internet.garant.ru/#/document/409031054/entry/1000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правил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классификации горнолыжных трасс, классификации пляжей -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влечет предупреждение или наложение административного штрафа на должностных лиц в размере от трех тысяч до пяти тысяч рублей; на юридических лиц - от двадцати тысяч до тридцати тысяч рублей.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5. Невнесение туроператором сведений о турагенте, осуществляющем продвижение и реализацию туристского продукта, сформированного туроператором, в единый федеральный реестр турагентов, субагентов (далее - реестр турагентов), внесение сведений о турагенте в р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еестр турагентов с нарушением порядка, предусмотренного </w:t>
      </w:r>
      <w:hyperlink r:id="rId27" w:tooltip="https://internet.garant.ru/#/document/136248/entry/43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законодательством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Российской Федерации, либо внесение в реестр турагентов недостоверных сведений -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влечет наложение административного штрафа на должностных лиц в размере от десяти тысяч до тридцати тысяч рублей; на юридических лиц - от пятидесяти тысяч до ста тысяч рублей.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6. Невнесение турагентом сведений о субагенте, осуществляющем продвижение и реализацию туристского продукта, сформированного туроператором, в реестр турагентов, внесение сведений о субагенте в реестр турагентов с нарушением порядка, предусмотренного </w:t>
      </w:r>
      <w:hyperlink r:id="rId28" w:tooltip="https://internet.garant.ru/#/document/136248/entry/43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законодательством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Российской Федерации, либо внесение в реестр турагентов недостоверных сведений -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влечет наложение административного штрафа на должностных лиц в размере от десяти тысяч до тридцати тысяч рублей; на юридических лиц - от пятидесяти тысяч до ста тысяч рублей.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7. Осуществление турагентской деятельности лицом, сведения о котором отсутствуют в реестре турагентов, либо лицом, не имеющим права на осуществление турагентской деятельности, -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влечет наложение административного штрафа на граждан в размере от пяти тысяч до пятнадцати тысяч рублей; на должностных лиц - от десяти тысяч до тридцати тысяч рублей; на юридических лиц - от пятидесяти тысяч до ста тысяч рублей.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8. Осуществление турагентом деятельности по продвижению и реализации туристского продукта при отсутствии в реестре турагентов сведений о заключении между турагентом и туроператором, сформировавшим туристский продукт, договора на продвижение и реализацию ту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ристского продукта, сформированного туроператором, -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влечет наложение административного штрафа на должностных лиц в размере от десяти тысяч до тридцати тысяч рублей; на юридических лиц - от пятидесяти тысяч до ста тысяч рублей.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9. Передача турагентом исполнения поручения туроператора на продвижение и реализацию туристского продукта при отсутствии у турагента права на такую передачу -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влечет наложение административного штрафа на должностных лиц в размере от десяти тысяч до тридцати тысяч рублей; на юридических лиц - от пятидесяти тысяч до ста тысяч рублей.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10. Осуществление субагентом деятельности по продвижению и реализации туристского продукта при отсутствии в реестре турагентов сведений о заключении между субагентом и турагентом договора, предусматривающего передачу исполнения поручения туроператора на пр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одвижение и реализацию туристского продукта, сформированного туроператором, -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влечет наложение административного штрафа на должностных лиц в размере от десяти тысяч до тридцати тысяч рублей; на юридических лиц - от пятидесяти тысяч до ста тысяч рублей.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11. Оказание услуг по сопровождению туристов (экскурсантов) на туристском маршруте (части туристского маршрута), при прохождении которого туристам (экскурсантам) требуется специальное сопровождение (далее - туристский маршрут, требующий специального сопров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ождения), без привлечения инструктора-проводника в установленных </w:t>
      </w:r>
      <w:hyperlink r:id="rId29" w:tooltip="https://internet.garant.ru/#/document/136248/entry/450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федеральным законом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случаях либо оказание услуг по сопровождению туристов (экскурсантов) на туристском маршруте, требующем специального сопровождения, лицом, не являющимся аттестованным инструктором-проводником, -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влечет предупреждение или наложение административного штрафа на граждан в размере от двадцати тысяч до сорока тысяч рублей; на должностных лиц - от семидесяти тысяч до ста тысяч рублей; на юридических лиц - от ста тысяч до ста пятидесяти тысяч рублей.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12. Повторное совершение административного правонарушения, предусмотренного </w:t>
      </w:r>
      <w:hyperlink r:id="rId30" w:tooltip="https://internet.garant.ru/#/document/12125267/entry/1452011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частью 11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настоящей статьи, либо невыполнение в установленный срок законного предписания органа (должностного лица), осуществляющего региональный государственный контроль (надзор) в сфере туристской индустрии, или органа (должностного лица), осуществляющего государ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ственный надзор в области охраны и использования особо охраняемых природных территорий, об устранении указанного нарушения </w:t>
      </w:r>
      <w:hyperlink r:id="rId31" w:tooltip="https://internet.garant.ru/#/document/136248/entry/2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законодательства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-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влечет наложение административного штрафа на граждан в размере от пятидесяти тысяч до семидесяти тысяч рублей; на должностных лиц - от ста тысяч до ста пятидесяти тысяч рублей; на юридических лиц - от ста пятидесяти тысяч до двухсот тысяч рублей.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13. Оказание услуг по ознакомлению туристов (экскурсантов) с объектами показа, сопровождению туристов (экскурсантов) и информированию туристов (экскурсантов) по пути следования по туристскому маршруту без привлечения аттестованных экскурсовода (гида) или г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ида-переводчика либо оказание таких услуг лицом, не являющимся аттестованным экскурсоводом (гидом) или аттестованным гидом-переводчиком, в случае, если привлечение аттестованных экскурсовода (гида) или гида-переводчика является обязательным в соответствии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 </w:t>
      </w:r>
      <w:hyperlink r:id="rId32" w:tooltip="https://internet.garant.ru/#/document/136248/entry/2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законодательством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Российской Федерации, -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влечет предупреждение или наложение административного штрафа на граждан в размере от семи тысяч до десяти тысяч рублей; на юридических лиц - от пятидесяти тысяч до ста тысяч рублей.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14. Повторное совершение административного правонарушения, предусмотренного </w:t>
      </w:r>
      <w:hyperlink r:id="rId33" w:tooltip="https://internet.garant.ru/#/document/12125267/entry/1452013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частью 13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настоящей статьи, либо невыполнение в установленный срок законного предписания органа (должностного лица), осуществляющего региональный государственный контроль (надзор) в сфере туристской индустрии, или органа (должностного лица), осуществляющего государ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ственный надзор в области охраны и использования особо охраняемых природных территорий, об устранении указанного нарушения </w:t>
      </w:r>
      <w:hyperlink r:id="rId34" w:tooltip="https://internet.garant.ru/#/document/136248/entry/2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законодательства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-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влечет наложение административного штрафа на граждан в размере от тридцати тысяч до пятидесяти тысяч рублей; на юридических лиц - от ста тысяч до ста пятидесяти тысяч рублей.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15. Оказание услуг по ознакомлению туристов (экскурсантов) с объектами показа, сопровождению туристов (экскурсантов) и информированию туристов (экскурсантов) по пути следования по туристскому маршруту или оказание услуг по сопровождению туристов (экскурсан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тов) на туристском маршруте, требующем специального сопровождения, лицом, не имеющим при себе нагрудной идентификационной карточки экскурсовода (гида), или гида-переводчика, или инструктора-проводника, -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влечет предупреждение или наложение административного штрафа на граждан в размере от пяти тысяч до десяти тысяч рублей.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16. Непредоставление юридическим лицом, индивидуальным предпринимателем или инструктором-проводником, планирующими оказание услуг по сопровождению туристов (экскурсантов) и обеспечению их безопасности на туристских маршрутах, требующих специального сопрово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ждения, в целях неотнесения туристского маршрута (части туристского маршрута) к туристским маршрутам, требующим специального сопровождения, сведений о наличии на таком туристском маршруте препятствий, включая сведения об условиях погружения (для подводных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туристских маршрутов), которые предусмотрены критериями отнесения туристских маршрутов к соответствующей категории сложности (в том числе с учетом обеспечения безопасности туристов) и наличие которых на туристском маршруте относит такой маршрут к туристски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м маршрутам, требующим специального сопровождения, -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влечет наложение административного штрафа на должностных лиц в размере от десяти тысяч до двадцати тысяч рублей; на юридических лиц - от тридцати тысяч до пятидесяти тысяч рублей.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17. Повторное совершение административного правонарушения, предусмотренного </w:t>
      </w:r>
      <w:hyperlink r:id="rId35" w:tooltip="https://internet.garant.ru/#/document/12125267/entry/1452016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частью 16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настоящей статьи, -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влечет наложение административного штрафа на должностных лиц в размере от двадцати тысяч до двадцати пяти тысяч рублей; на юридических лиц - от сорока тысяч до шестидесяти тысяч рублей.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18. Ненаправление инструктором-проводником в территориальный орган федерального органа исполнительной власти, осуществляющего функции по выработке и реализации государственной политики в области защиты населения и территорий от чрезвычайных ситуаций природ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ного и техногенного характера, по субъекту Российской Федерации, на территории которого проходит туристский маршрут, требующий специального сопровождения, а также в орган исполнительной власти указанного субъекта Российской Федерации, уполномоченный на осу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ществление регионального государственного контроля (надзора) в сфере туристской индустрии в указанном субъекте Российской Федерации, и в организацию, уполномоченную на проведение аттестации инструкторов-проводников и проводившую аттестацию этого инструктор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а-проводника, </w:t>
      </w:r>
      <w:hyperlink r:id="rId36" w:tooltip="https://internet.garant.ru/#/document/409179450/entry/2000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уведомления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о сопровождении туристов (экскурсантов) на туристском маршруте, требующем специального сопровождения, до начала прохождения туристского маршрута, требующего специального сопровождения, и после завершения прохождения туристского маршрута, требующего специа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льного сопровождения, -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влечет предупреждение или наложение административного штрафа на граждан в размере от семи тысяч до десяти тысяч рублей.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19. Повторное совершение административного правонарушения, предусмотренного </w:t>
      </w:r>
      <w:hyperlink r:id="rId37" w:tooltip="https://internet.garant.ru/#/document/12125267/entry/1452018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частью 18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настоящей статьи, либо невыполнение в установленный срок законного предписания органа (должностного лица), осуществляющего региональный государственный контроль (надзор) в сфере туристской индустрии, об устранении указанного нарушения </w:t>
      </w:r>
      <w:hyperlink r:id="rId38" w:tooltip="https://internet.garant.ru/#/document/136248/entry/2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законодательства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-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влечет наложение административного штрафа на граждан в размере от тридцати тысяч до пятидесяти тысяч рублей.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20. Оказание услуг по ознакомлению туристов (экскурсантов) с объектами показа, сопровождению туристов (экскурсантов) и информированию туристов (экскурсантов) по пути следования по туристскому маршруту, не соответствующих требованиям, установленным правилам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и оказания услуг экскурсовода (гида) и гида-переводчика (за исключением требований в отношении содержания договора об оказании соответствующих услуг, соблюдения обязательных требований по доведению до сведения потребителей необходимой информации об оказыва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емых услугах экскурсовода (гида), гида-переводчика, исполнения договора об оказании соответствующих услуг, рассмотрения требований потребителя, связанных с нарушением его прав), -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влечет наложение административного штрафа на граждан в размере от пяти тысяч до десяти тысяч рублей.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21. Повторное совершение административного правонарушения, предусмотренного </w:t>
      </w:r>
      <w:hyperlink r:id="rId39" w:tooltip="https://internet.garant.ru/#/document/12125267/entry/1452020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частью 20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настоящей статьи, либо невыполнение в установленный срок законного предписания органа (должностного лица), осуществляющего региональный государственный контроль (надзор) в сфере туристской индустрии, или органа (должностного лица), осуществляющего государ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ственный надзор в области охраны и использования особо охраняемых природных территорий, об устранении указанного нарушения </w:t>
      </w:r>
      <w:hyperlink r:id="rId40" w:tooltip="https://internet.garant.ru/#/document/136248/entry/2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законодательства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-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влечет наложение административного штрафа на граждан в размере от десяти тысяч до пятнадцати тысяч рублей.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Примечания: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1. Эксперт по классификации организации, осуществляющей классификацию в сфере туристской индустрии, совершивший административное правонарушение, предусмотренное </w:t>
      </w:r>
      <w:hyperlink r:id="rId41" w:tooltip="https://internet.garant.ru/#/document/12125267/entry/140524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частью 4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настоящей статьи, несет административную ответственность как должностное лицо.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2. Инструктор-проводник, совершивший административное правонарушение, предусмотренное </w:t>
      </w:r>
      <w:hyperlink r:id="rId42" w:tooltip="https://internet.garant.ru/#/document/12125267/entry/1452016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частью 16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или </w:t>
      </w:r>
      <w:hyperlink r:id="rId43" w:tooltip="https://internet.garant.ru/#/document/12125267/entry/1452017" w:history="1">
        <w:r>
          <w:rPr>
            <w:rStyle w:val="813"/>
            <w:rFonts w:ascii="Times New Roman" w:hAnsi="Times New Roman" w:eastAsia="Times New Roman" w:cs="Times New Roman"/>
            <w:color w:val="000000" w:themeColor="text1"/>
            <w:sz w:val="24"/>
            <w:szCs w:val="24"/>
            <w:u w:val="none"/>
          </w:rPr>
          <w:t xml:space="preserve">17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настоящей статьи, несет административную ответственность как должностное лицо.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3.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1"/>
    <w:next w:val="831"/>
    <w:link w:val="656"/>
    <w:uiPriority w:val="9"/>
    <w:qFormat/>
    <w:pPr>
      <w:keepNext/>
      <w:keepLines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1"/>
    <w:next w:val="831"/>
    <w:link w:val="658"/>
    <w:uiPriority w:val="9"/>
    <w:unhideWhenUsed/>
    <w:qFormat/>
    <w:pPr>
      <w:keepNext/>
      <w:keepLines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1"/>
    <w:next w:val="831"/>
    <w:link w:val="660"/>
    <w:uiPriority w:val="9"/>
    <w:unhideWhenUsed/>
    <w:qFormat/>
    <w:pPr>
      <w:keepNext/>
      <w:keepLines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1"/>
    <w:next w:val="831"/>
    <w:link w:val="662"/>
    <w:uiPriority w:val="9"/>
    <w:unhideWhenUsed/>
    <w:qFormat/>
    <w:pPr>
      <w:keepNext/>
      <w:keepLines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1"/>
    <w:next w:val="831"/>
    <w:link w:val="664"/>
    <w:uiPriority w:val="9"/>
    <w:unhideWhenUsed/>
    <w:qFormat/>
    <w:pPr>
      <w:keepNext/>
      <w:keepLines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1"/>
    <w:next w:val="831"/>
    <w:link w:val="666"/>
    <w:uiPriority w:val="9"/>
    <w:unhideWhenUsed/>
    <w:qFormat/>
    <w:pPr>
      <w:keepNext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1"/>
    <w:next w:val="831"/>
    <w:link w:val="668"/>
    <w:uiPriority w:val="9"/>
    <w:unhideWhenUsed/>
    <w:qFormat/>
    <w:pPr>
      <w:keepNext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1"/>
    <w:next w:val="831"/>
    <w:link w:val="670"/>
    <w:uiPriority w:val="9"/>
    <w:unhideWhenUsed/>
    <w:qFormat/>
    <w:pPr>
      <w:keepNext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1"/>
    <w:next w:val="831"/>
    <w:link w:val="672"/>
    <w:uiPriority w:val="9"/>
    <w:unhideWhenUsed/>
    <w:qFormat/>
    <w:pPr>
      <w:keepNext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Title"/>
    <w:basedOn w:val="831"/>
    <w:next w:val="831"/>
    <w:link w:val="674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674">
    <w:name w:val="Title Char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2">
    <w:name w:val="Header Char"/>
    <w:link w:val="681"/>
    <w:uiPriority w:val="99"/>
  </w:style>
  <w:style w:type="paragraph" w:styleId="683">
    <w:name w:val="Footer"/>
    <w:basedOn w:val="831"/>
    <w:link w:val="684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4">
    <w:name w:val="Footer Char"/>
    <w:link w:val="683"/>
    <w:uiPriority w:val="99"/>
  </w:style>
  <w:style w:type="paragraph" w:styleId="685">
    <w:name w:val="Caption"/>
    <w:basedOn w:val="831"/>
    <w:next w:val="831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link w:val="685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spacing w:after="57"/>
      <w:ind w:left="0" w:right="0" w:firstLine="0"/>
    </w:pPr>
  </w:style>
  <w:style w:type="paragraph" w:styleId="821">
    <w:name w:val="toc 2"/>
    <w:basedOn w:val="831"/>
    <w:next w:val="831"/>
    <w:uiPriority w:val="39"/>
    <w:unhideWhenUsed/>
    <w:pPr>
      <w:spacing w:after="57"/>
      <w:ind w:left="283" w:right="0" w:firstLine="0"/>
    </w:pPr>
  </w:style>
  <w:style w:type="paragraph" w:styleId="822">
    <w:name w:val="toc 3"/>
    <w:basedOn w:val="831"/>
    <w:next w:val="831"/>
    <w:uiPriority w:val="39"/>
    <w:unhideWhenUsed/>
    <w:pPr>
      <w:spacing w:after="57"/>
      <w:ind w:left="567" w:right="0" w:firstLine="0"/>
    </w:pPr>
  </w:style>
  <w:style w:type="paragraph" w:styleId="823">
    <w:name w:val="toc 4"/>
    <w:basedOn w:val="831"/>
    <w:next w:val="831"/>
    <w:uiPriority w:val="39"/>
    <w:unhideWhenUsed/>
    <w:pPr>
      <w:spacing w:after="57"/>
      <w:ind w:left="850" w:right="0" w:firstLine="0"/>
    </w:pPr>
  </w:style>
  <w:style w:type="paragraph" w:styleId="824">
    <w:name w:val="toc 5"/>
    <w:basedOn w:val="831"/>
    <w:next w:val="831"/>
    <w:uiPriority w:val="39"/>
    <w:unhideWhenUsed/>
    <w:pPr>
      <w:spacing w:after="57"/>
      <w:ind w:left="1134" w:right="0" w:firstLine="0"/>
    </w:pPr>
  </w:style>
  <w:style w:type="paragraph" w:styleId="825">
    <w:name w:val="toc 6"/>
    <w:basedOn w:val="831"/>
    <w:next w:val="831"/>
    <w:uiPriority w:val="39"/>
    <w:unhideWhenUsed/>
    <w:pPr>
      <w:spacing w:after="57"/>
      <w:ind w:left="1417" w:right="0" w:firstLine="0"/>
    </w:pPr>
  </w:style>
  <w:style w:type="paragraph" w:styleId="826">
    <w:name w:val="toc 7"/>
    <w:basedOn w:val="831"/>
    <w:next w:val="831"/>
    <w:uiPriority w:val="39"/>
    <w:unhideWhenUsed/>
    <w:pPr>
      <w:spacing w:after="57"/>
      <w:ind w:left="1701" w:right="0" w:firstLine="0"/>
    </w:pPr>
  </w:style>
  <w:style w:type="paragraph" w:styleId="827">
    <w:name w:val="toc 8"/>
    <w:basedOn w:val="831"/>
    <w:next w:val="831"/>
    <w:uiPriority w:val="39"/>
    <w:unhideWhenUsed/>
    <w:pPr>
      <w:spacing w:after="57"/>
      <w:ind w:left="1984" w:right="0" w:firstLine="0"/>
    </w:pPr>
  </w:style>
  <w:style w:type="paragraph" w:styleId="828">
    <w:name w:val="toc 9"/>
    <w:basedOn w:val="831"/>
    <w:next w:val="831"/>
    <w:uiPriority w:val="39"/>
    <w:unhideWhenUsed/>
    <w:pPr>
      <w:spacing w:after="57"/>
      <w:ind w:left="2268" w:right="0" w:firstLine="0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>
    <w:name w:val="No Spacing"/>
    <w:basedOn w:val="831"/>
    <w:uiPriority w:val="1"/>
    <w:qFormat/>
    <w:pPr>
      <w:spacing w:after="0" w:line="240" w:lineRule="auto"/>
    </w:pPr>
  </w:style>
  <w:style w:type="paragraph" w:styleId="835">
    <w:name w:val="List Paragraph"/>
    <w:basedOn w:val="831"/>
    <w:uiPriority w:val="34"/>
    <w:qFormat/>
    <w:pPr>
      <w:ind w:left="720"/>
      <w:contextualSpacing/>
    </w:pPr>
  </w:style>
  <w:style w:type="character" w:styleId="83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internet.garant.ru/#/document/136248/entry/1953" TargetMode="External"/><Relationship Id="rId9" Type="http://schemas.openxmlformats.org/officeDocument/2006/relationships/hyperlink" Target="https://internet.garant.ru/#/document/136248/entry/51" TargetMode="External"/><Relationship Id="rId10" Type="http://schemas.openxmlformats.org/officeDocument/2006/relationships/hyperlink" Target="https://internet.garant.ru/#/document/414325615/entry/1000" TargetMode="External"/><Relationship Id="rId11" Type="http://schemas.openxmlformats.org/officeDocument/2006/relationships/hyperlink" Target="https://internet.garant.ru/#/document/412133560/entry/0" TargetMode="External"/><Relationship Id="rId12" Type="http://schemas.openxmlformats.org/officeDocument/2006/relationships/hyperlink" Target="https://internet.garant.ru/#/document/414325615/entry/1000" TargetMode="External"/><Relationship Id="rId13" Type="http://schemas.openxmlformats.org/officeDocument/2006/relationships/hyperlink" Target="https://internet.garant.ru/#/document/404780129/entry/1000" TargetMode="External"/><Relationship Id="rId14" Type="http://schemas.openxmlformats.org/officeDocument/2006/relationships/hyperlink" Target="https://internet.garant.ru/#/document/409179450/entry/2000" TargetMode="External"/><Relationship Id="rId15" Type="http://schemas.openxmlformats.org/officeDocument/2006/relationships/hyperlink" Target="https://internet.garant.ru/#/document/409179448/entry/1000" TargetMode="External"/><Relationship Id="rId16" Type="http://schemas.openxmlformats.org/officeDocument/2006/relationships/hyperlink" Target="https://internet.garant.ru/#/document/12125267/entry/143901" TargetMode="External"/><Relationship Id="rId17" Type="http://schemas.openxmlformats.org/officeDocument/2006/relationships/hyperlink" Target="https://internet.garant.ru/#/document/411240735/entry/1200" TargetMode="External"/><Relationship Id="rId18" Type="http://schemas.openxmlformats.org/officeDocument/2006/relationships/hyperlink" Target="https://internet.garant.ru/#/document/12125267/entry/143903" TargetMode="External"/><Relationship Id="rId19" Type="http://schemas.openxmlformats.org/officeDocument/2006/relationships/hyperlink" Target="https://internet.garant.ru/#/document/12125267/entry/143905" TargetMode="External"/><Relationship Id="rId20" Type="http://schemas.openxmlformats.org/officeDocument/2006/relationships/hyperlink" Target="https://internet.garant.ru/#/document/12125267/entry/143907" TargetMode="External"/><Relationship Id="rId21" Type="http://schemas.openxmlformats.org/officeDocument/2006/relationships/hyperlink" Target="https://internet.garant.ru/#/document/10900200/entry/249" TargetMode="External"/><Relationship Id="rId22" Type="http://schemas.openxmlformats.org/officeDocument/2006/relationships/hyperlink" Target="https://internet.garant.ru/#/document/136248/entry/1702" TargetMode="External"/><Relationship Id="rId23" Type="http://schemas.openxmlformats.org/officeDocument/2006/relationships/hyperlink" Target="https://internet.garant.ru/#/document/136248/entry/5" TargetMode="External"/><Relationship Id="rId24" Type="http://schemas.openxmlformats.org/officeDocument/2006/relationships/hyperlink" Target="https://internet.garant.ru/#/document/411240735/entry/1000" TargetMode="External"/><Relationship Id="rId25" Type="http://schemas.openxmlformats.org/officeDocument/2006/relationships/hyperlink" Target="https://internet.garant.ru/#/document/411240743/entry/1000" TargetMode="External"/><Relationship Id="rId26" Type="http://schemas.openxmlformats.org/officeDocument/2006/relationships/hyperlink" Target="https://internet.garant.ru/#/document/409031054/entry/1000" TargetMode="External"/><Relationship Id="rId27" Type="http://schemas.openxmlformats.org/officeDocument/2006/relationships/hyperlink" Target="https://internet.garant.ru/#/document/136248/entry/43" TargetMode="External"/><Relationship Id="rId28" Type="http://schemas.openxmlformats.org/officeDocument/2006/relationships/hyperlink" Target="https://internet.garant.ru/#/document/136248/entry/43" TargetMode="External"/><Relationship Id="rId29" Type="http://schemas.openxmlformats.org/officeDocument/2006/relationships/hyperlink" Target="https://internet.garant.ru/#/document/136248/entry/450" TargetMode="External"/><Relationship Id="rId30" Type="http://schemas.openxmlformats.org/officeDocument/2006/relationships/hyperlink" Target="https://internet.garant.ru/#/document/12125267/entry/1452011" TargetMode="External"/><Relationship Id="rId31" Type="http://schemas.openxmlformats.org/officeDocument/2006/relationships/hyperlink" Target="https://internet.garant.ru/#/document/136248/entry/2" TargetMode="External"/><Relationship Id="rId32" Type="http://schemas.openxmlformats.org/officeDocument/2006/relationships/hyperlink" Target="https://internet.garant.ru/#/document/136248/entry/2" TargetMode="External"/><Relationship Id="rId33" Type="http://schemas.openxmlformats.org/officeDocument/2006/relationships/hyperlink" Target="https://internet.garant.ru/#/document/12125267/entry/1452013" TargetMode="External"/><Relationship Id="rId34" Type="http://schemas.openxmlformats.org/officeDocument/2006/relationships/hyperlink" Target="https://internet.garant.ru/#/document/136248/entry/2" TargetMode="External"/><Relationship Id="rId35" Type="http://schemas.openxmlformats.org/officeDocument/2006/relationships/hyperlink" Target="https://internet.garant.ru/#/document/12125267/entry/1452016" TargetMode="External"/><Relationship Id="rId36" Type="http://schemas.openxmlformats.org/officeDocument/2006/relationships/hyperlink" Target="https://internet.garant.ru/#/document/409179450/entry/2000" TargetMode="External"/><Relationship Id="rId37" Type="http://schemas.openxmlformats.org/officeDocument/2006/relationships/hyperlink" Target="https://internet.garant.ru/#/document/12125267/entry/1452018" TargetMode="External"/><Relationship Id="rId38" Type="http://schemas.openxmlformats.org/officeDocument/2006/relationships/hyperlink" Target="https://internet.garant.ru/#/document/136248/entry/2" TargetMode="External"/><Relationship Id="rId39" Type="http://schemas.openxmlformats.org/officeDocument/2006/relationships/hyperlink" Target="https://internet.garant.ru/#/document/12125267/entry/1452020" TargetMode="External"/><Relationship Id="rId40" Type="http://schemas.openxmlformats.org/officeDocument/2006/relationships/hyperlink" Target="https://internet.garant.ru/#/document/136248/entry/2" TargetMode="External"/><Relationship Id="rId41" Type="http://schemas.openxmlformats.org/officeDocument/2006/relationships/hyperlink" Target="https://internet.garant.ru/#/document/12125267/entry/140524" TargetMode="External"/><Relationship Id="rId42" Type="http://schemas.openxmlformats.org/officeDocument/2006/relationships/hyperlink" Target="https://internet.garant.ru/#/document/12125267/entry/1452016" TargetMode="External"/><Relationship Id="rId43" Type="http://schemas.openxmlformats.org/officeDocument/2006/relationships/hyperlink" Target="https://internet.garant.ru/#/document/12125267/entry/1452017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danilova_aa</cp:lastModifiedBy>
  <cp:revision>4</cp:revision>
  <dcterms:modified xsi:type="dcterms:W3CDTF">2026-09-22T09:15:24Z</dcterms:modified>
</cp:coreProperties>
</file>