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jc w:val="center"/>
        <w:rPr>
          <w:rFonts w:ascii="Times New Roman" w:hAnsi="Times New Roman"/>
          <w:b/>
          <w:bCs/>
          <w:sz w:val="28"/>
          <w:szCs w:val="28"/>
        </w:rPr>
      </w:pPr>
      <w:r>
        <w:rPr>
          <w:rFonts w:ascii="Times New Roman" w:hAnsi="Times New Roman"/>
          <w:b/>
          <w:bCs/>
          <w:sz w:val="28"/>
          <w:szCs w:val="28"/>
        </w:rPr>
        <w:t xml:space="preserve">Категории </w:t>
      </w:r>
      <w:r>
        <w:rPr>
          <w:rFonts w:ascii="Times New Roman" w:hAnsi="Times New Roman"/>
          <w:b/>
          <w:bCs/>
          <w:sz w:val="28"/>
          <w:szCs w:val="28"/>
        </w:rPr>
        <w:t>риска объектов контроля</w:t>
      </w:r>
    </w:p>
    <w:p>
      <w:pPr>
        <w:pStyle w:val="Normal"/>
        <w:bidi w:val="0"/>
        <w:ind w:hanging="0"/>
        <w:jc w:val="center"/>
        <w:rPr>
          <w:rFonts w:ascii="Times New Roman" w:hAnsi="Times New Roman"/>
          <w:b/>
          <w:bCs/>
          <w:sz w:val="28"/>
          <w:szCs w:val="28"/>
        </w:rPr>
      </w:pPr>
      <w:r>
        <w:rPr>
          <w:rFonts w:ascii="Times New Roman" w:hAnsi="Times New Roman"/>
          <w:b/>
          <w:bCs/>
          <w:sz w:val="28"/>
          <w:szCs w:val="28"/>
        </w:rPr>
        <w:t>и</w:t>
      </w:r>
    </w:p>
    <w:p>
      <w:pPr>
        <w:pStyle w:val="Normal"/>
        <w:bidi w:val="0"/>
        <w:ind w:hanging="0"/>
        <w:jc w:val="center"/>
        <w:rPr>
          <w:rFonts w:ascii="Times New Roman" w:hAnsi="Times New Roman"/>
          <w:b/>
          <w:bCs/>
          <w:sz w:val="28"/>
          <w:szCs w:val="28"/>
        </w:rPr>
      </w:pPr>
      <w:r>
        <w:rPr>
          <w:rFonts w:ascii="Times New Roman" w:hAnsi="Times New Roman"/>
          <w:b/>
          <w:bCs/>
          <w:sz w:val="28"/>
          <w:szCs w:val="28"/>
        </w:rPr>
        <w:t>п</w:t>
      </w:r>
      <w:r>
        <w:rPr>
          <w:rFonts w:ascii="Times New Roman" w:hAnsi="Times New Roman"/>
          <w:b/>
          <w:bCs/>
          <w:sz w:val="28"/>
          <w:szCs w:val="28"/>
        </w:rPr>
        <w:t xml:space="preserve">орядок отнесения объектов контроля к категориям риска </w:t>
      </w:r>
    </w:p>
    <w:p>
      <w:pPr>
        <w:pStyle w:val="Normal"/>
        <w:bidi w:val="0"/>
        <w:ind w:hanging="0"/>
        <w:jc w:val="start"/>
        <w:rPr>
          <w:rFonts w:ascii="Times New Roman" w:hAnsi="Times New Roman"/>
          <w:sz w:val="28"/>
          <w:szCs w:val="28"/>
        </w:rPr>
      </w:pPr>
      <w:r>
        <w:rPr>
          <w:rFonts w:ascii="Times New Roman" w:hAnsi="Times New Roman"/>
          <w:sz w:val="28"/>
          <w:szCs w:val="28"/>
        </w:rPr>
      </w:r>
    </w:p>
    <w:p>
      <w:pPr>
        <w:pStyle w:val="Normal"/>
        <w:bidi w:val="0"/>
        <w:spacing w:lineRule="auto" w:line="276" w:before="0" w:after="0"/>
        <w:ind w:firstLine="567"/>
        <w:jc w:val="both"/>
        <w:rPr/>
      </w:pPr>
      <w:r>
        <w:rPr>
          <w:rFonts w:ascii="Times New Roman" w:hAnsi="Times New Roman"/>
          <w:sz w:val="28"/>
          <w:szCs w:val="28"/>
        </w:rPr>
        <w:t>Ф</w:t>
      </w:r>
      <w:r>
        <w:rPr>
          <w:rFonts w:ascii="Times New Roman" w:hAnsi="Times New Roman"/>
          <w:sz w:val="28"/>
          <w:szCs w:val="28"/>
        </w:rPr>
        <w:t>едеральн</w:t>
      </w:r>
      <w:r>
        <w:rPr>
          <w:rFonts w:ascii="Times New Roman" w:hAnsi="Times New Roman"/>
          <w:sz w:val="28"/>
          <w:szCs w:val="28"/>
        </w:rPr>
        <w:t>ый</w:t>
      </w:r>
      <w:r>
        <w:rPr>
          <w:rFonts w:ascii="Times New Roman" w:hAnsi="Times New Roman"/>
          <w:sz w:val="28"/>
          <w:szCs w:val="28"/>
        </w:rPr>
        <w:t xml:space="preserve"> государственн</w:t>
      </w:r>
      <w:r>
        <w:rPr>
          <w:rFonts w:ascii="Times New Roman" w:hAnsi="Times New Roman"/>
          <w:sz w:val="28"/>
          <w:szCs w:val="28"/>
        </w:rPr>
        <w:t>ый</w:t>
      </w:r>
      <w:r>
        <w:rPr>
          <w:rFonts w:ascii="Times New Roman" w:hAnsi="Times New Roman"/>
          <w:sz w:val="28"/>
          <w:szCs w:val="28"/>
        </w:rPr>
        <w:t xml:space="preserve"> лицензионн</w:t>
      </w:r>
      <w:r>
        <w:rPr>
          <w:rFonts w:ascii="Times New Roman" w:hAnsi="Times New Roman"/>
          <w:sz w:val="28"/>
          <w:szCs w:val="28"/>
        </w:rPr>
        <w:t>ый</w:t>
      </w:r>
      <w:r>
        <w:rPr>
          <w:rFonts w:ascii="Times New Roman" w:hAnsi="Times New Roman"/>
          <w:sz w:val="28"/>
          <w:szCs w:val="28"/>
        </w:rPr>
        <w:t xml:space="preserve"> контрол</w:t>
      </w:r>
      <w:r>
        <w:rPr>
          <w:rFonts w:ascii="Times New Roman" w:hAnsi="Times New Roman"/>
          <w:sz w:val="28"/>
          <w:szCs w:val="28"/>
        </w:rPr>
        <w:t>ь</w:t>
      </w:r>
      <w:r>
        <w:rPr>
          <w:rFonts w:ascii="Times New Roman" w:hAnsi="Times New Roman"/>
          <w:sz w:val="28"/>
          <w:szCs w:val="28"/>
        </w:rPr>
        <w:t xml:space="preserve"> (надзор) за деятельностью по заготовке, хранению, переработке и реализации лома черных и цветных металлов (далее - лицензионный контроль)</w:t>
      </w:r>
      <w:r>
        <w:rPr>
          <w:rFonts w:ascii="Times New Roman" w:hAnsi="Times New Roman"/>
          <w:sz w:val="28"/>
          <w:szCs w:val="28"/>
        </w:rPr>
        <w:t xml:space="preserve"> </w:t>
      </w:r>
      <w:r>
        <w:rPr>
          <w:rFonts w:ascii="Times New Roman" w:hAnsi="Times New Roman"/>
          <w:sz w:val="28"/>
          <w:szCs w:val="28"/>
        </w:rPr>
        <w:t xml:space="preserve">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 </w:t>
      </w:r>
    </w:p>
    <w:p>
      <w:pPr>
        <w:pStyle w:val="Normal"/>
        <w:bidi w:val="0"/>
        <w:spacing w:lineRule="auto" w:line="276" w:before="0" w:after="0"/>
        <w:ind w:firstLine="567"/>
        <w:jc w:val="both"/>
        <w:rPr>
          <w:rFonts w:ascii="Times New Roman" w:hAnsi="Times New Roman"/>
          <w:sz w:val="28"/>
          <w:szCs w:val="28"/>
        </w:rPr>
      </w:pPr>
      <w:r>
        <w:rPr>
          <w:rFonts w:ascii="Times New Roman" w:hAnsi="Times New Roman"/>
          <w:sz w:val="28"/>
          <w:szCs w:val="28"/>
        </w:rPr>
        <w:t xml:space="preserve">Министерство экономики, торговли и предпринимательства Республики Мордовия </w:t>
      </w:r>
      <w:r>
        <w:rPr>
          <w:rFonts w:ascii="Times New Roman" w:hAnsi="Times New Roman"/>
          <w:sz w:val="28"/>
          <w:szCs w:val="28"/>
        </w:rPr>
        <w:t>при осуществлении лицензионного контроля относит объекты лицензионного контроля в зависимости от вероятности наступления негативных событий и тяжести причинения вреда (ущерба) охраняемым законом ценностям к одной из следующих категорий риска:</w:t>
      </w:r>
    </w:p>
    <w:p>
      <w:pPr>
        <w:pStyle w:val="BodyText"/>
        <w:bidi w:val="0"/>
        <w:spacing w:before="0" w:after="0"/>
        <w:ind w:firstLine="567" w:start="0" w:end="0"/>
        <w:jc w:val="both"/>
        <w:rPr>
          <w:rFonts w:ascii="Times New Roman" w:hAnsi="Times New Roman"/>
          <w:sz w:val="28"/>
          <w:szCs w:val="28"/>
        </w:rPr>
      </w:pPr>
      <w:bookmarkStart w:id="0" w:name="p_78"/>
      <w:bookmarkEnd w:id="0"/>
      <w:r>
        <w:rPr>
          <w:rFonts w:ascii="Times New Roman" w:hAnsi="Times New Roman"/>
          <w:sz w:val="28"/>
          <w:szCs w:val="28"/>
        </w:rPr>
        <w:t>высокий риск;</w:t>
      </w:r>
    </w:p>
    <w:p>
      <w:pPr>
        <w:pStyle w:val="BodyText"/>
        <w:bidi w:val="0"/>
        <w:spacing w:before="0" w:after="0"/>
        <w:ind w:firstLine="567" w:start="0" w:end="0"/>
        <w:jc w:val="both"/>
        <w:rPr>
          <w:rFonts w:ascii="Times New Roman" w:hAnsi="Times New Roman"/>
          <w:sz w:val="28"/>
          <w:szCs w:val="28"/>
        </w:rPr>
      </w:pPr>
      <w:bookmarkStart w:id="1" w:name="p_79"/>
      <w:bookmarkEnd w:id="1"/>
      <w:r>
        <w:rPr>
          <w:rFonts w:ascii="Times New Roman" w:hAnsi="Times New Roman"/>
          <w:sz w:val="28"/>
          <w:szCs w:val="28"/>
        </w:rPr>
        <w:t>средний риск;</w:t>
      </w:r>
    </w:p>
    <w:p>
      <w:pPr>
        <w:pStyle w:val="BodyText"/>
        <w:bidi w:val="0"/>
        <w:spacing w:before="0" w:after="0"/>
        <w:ind w:firstLine="567" w:start="0" w:end="0"/>
        <w:jc w:val="both"/>
        <w:rPr>
          <w:rFonts w:ascii="Times New Roman" w:hAnsi="Times New Roman"/>
          <w:sz w:val="28"/>
          <w:szCs w:val="28"/>
        </w:rPr>
      </w:pPr>
      <w:bookmarkStart w:id="2" w:name="p_80"/>
      <w:bookmarkEnd w:id="2"/>
      <w:r>
        <w:rPr>
          <w:rFonts w:ascii="Times New Roman" w:hAnsi="Times New Roman"/>
          <w:sz w:val="28"/>
          <w:szCs w:val="28"/>
        </w:rPr>
        <w:t>низкий риск.</w:t>
      </w:r>
    </w:p>
    <w:p>
      <w:pPr>
        <w:pStyle w:val="BodyText"/>
        <w:bidi w:val="0"/>
        <w:spacing w:before="0" w:after="0"/>
        <w:ind w:firstLine="567" w:start="0" w:end="0"/>
        <w:jc w:val="both"/>
        <w:rPr>
          <w:rFonts w:ascii="Times New Roman" w:hAnsi="Times New Roman"/>
          <w:sz w:val="28"/>
          <w:szCs w:val="28"/>
        </w:rPr>
      </w:pPr>
      <w:bookmarkStart w:id="3" w:name="p_81"/>
      <w:bookmarkEnd w:id="3"/>
      <w:r>
        <w:rPr>
          <w:rFonts w:ascii="Times New Roman" w:hAnsi="Times New Roman"/>
          <w:sz w:val="28"/>
          <w:szCs w:val="28"/>
        </w:rPr>
        <w:t>Отнесение объектов лицензионного контроля к категориям риска осуществляется решением руководителя лицензирующего органа либо лица, исполняющего его обязанности, в соответствии с критериями отнесения объектов лицензионного контроля к категориям риска.</w:t>
      </w:r>
    </w:p>
    <w:p>
      <w:pPr>
        <w:pStyle w:val="BodyText"/>
        <w:bidi w:val="0"/>
        <w:spacing w:before="0" w:after="0"/>
        <w:ind w:firstLine="567" w:start="0" w:end="0"/>
        <w:jc w:val="both"/>
        <w:rPr>
          <w:rFonts w:ascii="Times New Roman" w:hAnsi="Times New Roman"/>
          <w:sz w:val="28"/>
          <w:szCs w:val="28"/>
        </w:rPr>
      </w:pPr>
      <w:bookmarkStart w:id="4" w:name="p_1491"/>
      <w:bookmarkEnd w:id="4"/>
      <w:r>
        <w:rPr>
          <w:rFonts w:ascii="Times New Roman" w:hAnsi="Times New Roman"/>
          <w:sz w:val="28"/>
          <w:szCs w:val="28"/>
        </w:rPr>
        <w:t>К объектам лицензионного контроля, отнесенным к категории высокого риска, относится деятельность, осуществляемая лицензиатами, которые в течение 3 лет, предшествующих формированию лицензирующим органом плана проведения плановых контрольных (надзорных) мероприятий на очередной год, были привлечены в порядке, установленном законодательством Российской Федерации, к административной ответственности за грубое нарушение лицензионных требований или невыполнение в установленный срок предписания об устранении нарушения лицензионных требований, выданного лицензирующим органом в порядке, установленном законодательством Российской Федерации, или которым было назначено административное наказание в виде административного приостановления деятельности в порядке, установленном законодательством Российской Федерации.</w:t>
      </w:r>
    </w:p>
    <w:p>
      <w:pPr>
        <w:pStyle w:val="BodyText"/>
        <w:bidi w:val="0"/>
        <w:spacing w:before="0" w:after="0"/>
        <w:ind w:firstLine="567" w:start="0" w:end="0"/>
        <w:jc w:val="both"/>
        <w:rPr>
          <w:rFonts w:ascii="Times New Roman" w:hAnsi="Times New Roman"/>
          <w:sz w:val="28"/>
          <w:szCs w:val="28"/>
        </w:rPr>
      </w:pPr>
      <w:bookmarkStart w:id="5" w:name="entry_10242"/>
      <w:bookmarkStart w:id="6" w:name="p_1492"/>
      <w:bookmarkEnd w:id="5"/>
      <w:bookmarkEnd w:id="6"/>
      <w:r>
        <w:rPr>
          <w:rFonts w:ascii="Times New Roman" w:hAnsi="Times New Roman"/>
          <w:sz w:val="28"/>
          <w:szCs w:val="28"/>
        </w:rPr>
        <w:t>К объектам лицензионного контроля, отнесенным к категории среднего риска, относится деятельность, осуществляемая лицензиатами, в отношении которых в течение 3 лет, предшествующих формированию лицензирующим органом плана проведения плановых контрольных (надзорных) мероприятий на очередной год, не были проведены плановые контрольные (надзорные) мероприятия либо обязательный профилактический визит или оценка соответствия соискателя лицензии лицензионным требованиям.</w:t>
      </w:r>
    </w:p>
    <w:p>
      <w:pPr>
        <w:pStyle w:val="BodyText"/>
        <w:bidi w:val="0"/>
        <w:spacing w:before="0" w:after="0"/>
        <w:ind w:firstLine="567" w:start="0" w:end="0"/>
        <w:jc w:val="both"/>
        <w:rPr>
          <w:rFonts w:ascii="Times New Roman" w:hAnsi="Times New Roman"/>
          <w:sz w:val="28"/>
          <w:szCs w:val="28"/>
        </w:rPr>
      </w:pPr>
      <w:bookmarkStart w:id="7" w:name="entry_10243"/>
      <w:bookmarkStart w:id="8" w:name="p_1493"/>
      <w:bookmarkEnd w:id="7"/>
      <w:bookmarkEnd w:id="8"/>
      <w:r>
        <w:rPr>
          <w:rFonts w:ascii="Times New Roman" w:hAnsi="Times New Roman"/>
          <w:sz w:val="28"/>
          <w:szCs w:val="28"/>
        </w:rPr>
        <w:t>К объектам лицензионного контроля, отнесенным к категории низкого риска, относится деятельность, осуществляемая лицензиатами, которые не отнесены к категориям высокого и среднего риска.</w:t>
      </w:r>
    </w:p>
    <w:p>
      <w:pPr>
        <w:pStyle w:val="BodyText"/>
        <w:bidi w:val="0"/>
        <w:spacing w:before="0" w:after="0"/>
        <w:ind w:firstLine="567" w:start="0" w:end="0"/>
        <w:jc w:val="both"/>
        <w:rPr>
          <w:rFonts w:ascii="Times New Roman" w:hAnsi="Times New Roman"/>
          <w:sz w:val="28"/>
          <w:szCs w:val="28"/>
        </w:rPr>
      </w:pPr>
      <w:bookmarkStart w:id="9" w:name="p_82"/>
      <w:bookmarkEnd w:id="9"/>
      <w:r>
        <w:rPr>
          <w:rFonts w:ascii="Times New Roman" w:hAnsi="Times New Roman"/>
          <w:sz w:val="28"/>
          <w:szCs w:val="28"/>
        </w:rPr>
        <w:t>В случае если объект лицензионного контроля не отнесен к определенной категории риска, он считается отнесенным к категории низкого риска.</w:t>
      </w:r>
    </w:p>
    <w:p>
      <w:pPr>
        <w:pStyle w:val="BodyText"/>
        <w:bidi w:val="0"/>
        <w:spacing w:before="0" w:after="0"/>
        <w:ind w:firstLine="567" w:start="0" w:end="0"/>
        <w:jc w:val="both"/>
        <w:rPr>
          <w:rFonts w:ascii="Times New Roman" w:hAnsi="Times New Roman"/>
          <w:sz w:val="28"/>
          <w:szCs w:val="28"/>
        </w:rPr>
      </w:pPr>
      <w:bookmarkStart w:id="10" w:name="p_83"/>
      <w:bookmarkEnd w:id="10"/>
      <w:r>
        <w:rPr>
          <w:rFonts w:ascii="Times New Roman" w:hAnsi="Times New Roman"/>
          <w:sz w:val="28"/>
          <w:szCs w:val="28"/>
        </w:rPr>
        <w:t>Отнесение объектов лицензионного контроля к определенной категории риска осуществляется ежегодно, до 1 августа текущего года, для применения в следующем году. Сведения об объектах лицензионного контроля с присвоенной им категорией риска размещаются на официальном сайте лицензирующего органа в информационно-телекоммуникационной сети «Интернет».</w:t>
      </w:r>
    </w:p>
    <w:p>
      <w:pPr>
        <w:pStyle w:val="BodyText"/>
        <w:bidi w:val="0"/>
        <w:spacing w:before="0" w:after="0"/>
        <w:ind w:firstLine="567" w:start="0" w:end="0"/>
        <w:jc w:val="both"/>
        <w:rPr>
          <w:rFonts w:ascii="Times New Roman" w:hAnsi="Times New Roman"/>
          <w:sz w:val="28"/>
          <w:szCs w:val="28"/>
        </w:rPr>
      </w:pPr>
      <w:r>
        <w:rPr>
          <w:rFonts w:ascii="Times New Roman" w:hAnsi="Times New Roman"/>
          <w:sz w:val="28"/>
          <w:szCs w:val="28"/>
        </w:rPr>
        <w:t>Лицензиат вправе подать в лицензирующий орган заявление об изменении категории риска осуществляемой им лицензионной деятельности в случае ее соответствия иной категории риска.</w:t>
      </w:r>
    </w:p>
    <w:p>
      <w:pPr>
        <w:pStyle w:val="BodyText"/>
        <w:bidi w:val="0"/>
        <w:spacing w:before="0" w:after="0"/>
        <w:ind w:firstLine="567" w:start="0" w:end="0"/>
        <w:jc w:val="both"/>
        <w:rPr>
          <w:rFonts w:ascii="Times New Roman" w:hAnsi="Times New Roman"/>
          <w:sz w:val="28"/>
          <w:szCs w:val="28"/>
        </w:rPr>
      </w:pPr>
      <w:bookmarkStart w:id="11" w:name="p_85"/>
      <w:bookmarkEnd w:id="11"/>
      <w:r>
        <w:rPr>
          <w:rFonts w:ascii="Times New Roman" w:hAnsi="Times New Roman"/>
          <w:sz w:val="28"/>
          <w:szCs w:val="28"/>
        </w:rPr>
        <w:t xml:space="preserve">При поступлении сведений о соответствии объекта лицензионного контроля иной категории риска </w:t>
      </w:r>
      <w:r>
        <w:rPr>
          <w:rFonts w:ascii="Times New Roman" w:hAnsi="Times New Roman"/>
          <w:sz w:val="28"/>
          <w:szCs w:val="28"/>
        </w:rPr>
        <w:t>Министерством экономики, торговли и предпринимательства Республики Мордовия</w:t>
      </w:r>
      <w:r>
        <w:rPr>
          <w:rFonts w:ascii="Times New Roman" w:hAnsi="Times New Roman"/>
          <w:sz w:val="28"/>
          <w:szCs w:val="28"/>
        </w:rPr>
        <w:t xml:space="preserve"> в течение 5 рабочих дней со дня поступления таких сведений принимается решение об изменении либо об отсутствии основания для изменения категории риска указанного объекта лицензионного контроля.</w:t>
      </w:r>
    </w:p>
    <w:p>
      <w:pPr>
        <w:pStyle w:val="Normal"/>
        <w:bidi w:val="0"/>
        <w:spacing w:lineRule="auto" w:line="276" w:before="0" w:after="0"/>
        <w:ind w:firstLine="567"/>
        <w:jc w:val="both"/>
        <w:rPr>
          <w:rFonts w:ascii="Times New Roman" w:hAnsi="Times New Roman"/>
          <w:sz w:val="28"/>
          <w:szCs w:val="28"/>
        </w:rPr>
      </w:pPr>
      <w:r>
        <w:rPr>
          <w:rFonts w:ascii="Times New Roman" w:hAnsi="Times New Roman"/>
          <w:sz w:val="28"/>
          <w:szCs w:val="28"/>
        </w:rPr>
      </w:r>
    </w:p>
    <w:sectPr>
      <w:type w:val="nextPage"/>
      <w:pgSz w:w="11906" w:h="16838"/>
      <w:pgMar w:left="1701" w:right="850"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swiss"/>
    <w:pitch w:val="variable"/>
  </w:font>
  <w:font w:name="Times New Roman">
    <w:charset w:val="cc" w:characterSet="windows-1251"/>
    <w:family w:val="roman"/>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character" w:styleId="Hyperlink">
    <w:name w:val="Hyperlink"/>
    <w:rPr>
      <w:color w:val="000080"/>
      <w:u w:val="single"/>
    </w:rPr>
  </w:style>
  <w:style w:type="character" w:styleId="FollowedHyperlink">
    <w:name w:val="FollowedHyperlink"/>
    <w:rPr>
      <w:color w:val="80000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Документ</Template>
  <TotalTime>7</TotalTime>
  <Application>LibreOffice/7.6.2.1$Windows_X86_64 LibreOffice_project/56f7684011345957bbf33a7ee678afaf4d2ba333</Application>
  <AppVersion>15.0000</AppVersion>
  <Pages>2</Pages>
  <Words>414</Words>
  <Characters>3220</Characters>
  <CharactersWithSpaces>3620</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2026-09-04T12:20:13Z</dcterms:created>
  <dc:creator/>
  <dc:description/>
  <dc:language>ru-RU</dc:language>
  <cp:lastModifiedBy/>
  <dcterms:modified xsi:type="dcterms:W3CDTF">2026-09-04T12:39:06Z</dcterms:modified>
  <cp:revision>3</cp:revision>
  <dc:subject/>
  <dc:title>Документ</dc:title>
</cp:coreProperties>
</file>