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hart7.xml" ContentType="application/vnd.openxmlformats-officedocument.drawingml.chart+xml"/>
  <Override PartName="/word/charts/style3.xml" ContentType="application/vnd.ms-office.chart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2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word/charts/colors3.xml" ContentType="application/vnd.ms-office.chartcolorstyle+xml"/>
  <Override PartName="/word/charts/chart2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harts/chart4.xml" ContentType="application/vnd.openxmlformats-officedocument.drawingml.chart+xml"/>
  <Override PartName="/word/settings.xml" ContentType="application/vnd.openxmlformats-officedocument.wordprocessingml.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8"/>
        <w:contextualSpacing/>
        <w:jc w:val="center"/>
        <w:spacing w:before="0" w:beforeAutospacing="0" w:after="0" w:afterAutospacing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О состоянии потребительского рынка Республики Мордовия 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</w:p>
    <w:p>
      <w:pPr>
        <w:pStyle w:val="18"/>
        <w:contextualSpacing/>
        <w:jc w:val="center"/>
        <w:spacing w:before="0" w:beforeAutospacing="0" w:after="0" w:afterAutospacing="0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за январь-август 2026 года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8"/>
        <w:contextualSpacing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contextualSpacing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январь-август 2026 года населению республики продано потребительских товаров через все каналы реализации на сумму                              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185 453,1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млн. 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что в товарной массе 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процента больше, чем за аналогичный период 2025 года.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635"/>
        <w:contextualSpacing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Индексы физического объема оборота розничной торговли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 2025 – 2026 гг.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(в процентах к соответствующему периоду предыдущего года)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jc w:val="left"/>
        <w:spacing w:before="0" w:after="28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915365" cy="3198350"/>
            <wp:effectExtent l="6350" t="6350" r="6350" b="6350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635"/>
        <w:ind w:firstLine="709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Оборот розничной торговли на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96,2%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формировался торгующими организациями и индивидуальными предпринимателями, реализующими товары вне рынка, доля продажи на рынках и ярмарках составила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3,8%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(в аналогичном периоде 2025 г. – 3,7 процента).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индексу физического объема оборота розничной торговли среди регионов ПФО Республика Мордовия занимает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(темп роста –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107,0 процент).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cs="Times New Roman"/>
          <w:sz w:val="28"/>
          <w:szCs w:val="28"/>
          <w:shd w:val="clear" w:color="auto" w:fill="ffff00"/>
        </w:rPr>
      </w:r>
    </w:p>
    <w:p>
      <w:pPr>
        <w:pStyle w:val="1_635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shd w:val="clear" w:color="auto" w:fill="ffff00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00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00"/>
        </w:rPr>
      </w:r>
    </w:p>
    <w:p>
      <w:pPr>
        <w:pStyle w:val="1_635"/>
        <w:jc w:val="center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Оборот розничной торговли по регионам ПФО в январе-августе 2026 г.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</w:p>
    <w:p>
      <w:pPr>
        <w:pStyle w:val="1_635"/>
        <w:jc w:val="center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</w:p>
    <w:p>
      <w:pPr>
        <w:pStyle w:val="1_635"/>
        <w:jc w:val="left"/>
        <w:spacing w:before="0" w:beforeAutospacing="0" w:after="0" w:afterAutospacing="0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  <w:r>
        <w:drawing>
          <wp:inline distT="0" distB="0" distL="0" distR="0">
            <wp:extent cx="5964577" cy="3050001"/>
            <wp:effectExtent l="4762" t="4762" r="4762" b="4762"/>
            <wp:docPr id="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 w:bidi="ar-SA"/>
        </w:rPr>
      </w:r>
    </w:p>
    <w:p>
      <w:pPr>
        <w:pStyle w:val="1_635"/>
        <w:ind w:firstLine="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</w:p>
    <w:p>
      <w:pPr>
        <w:pStyle w:val="1_635"/>
        <w:ind w:firstLine="709"/>
        <w:jc w:val="both"/>
        <w:spacing w:before="0" w:beforeAutospacing="0" w:after="0" w:afterAutospacing="0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январь-август 2026 года пищевых продуктов, включая напитки, и табачных изделий, продано населению на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82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051,4 </w:t>
      </w:r>
      <w:r>
        <w:rPr>
          <w:rFonts w:ascii="Times New Roman" w:hAnsi="Times New Roman" w:eastAsia="Times New Roman" w:cs="Times New Roman"/>
          <w:b/>
          <w:sz w:val="28"/>
          <w:szCs w:val="28"/>
          <w:shd w:val="clear" w:color="ffffff" w:themeColor="background1" w:fill="ffffff" w:themeFill="background1"/>
        </w:rPr>
        <w:t xml:space="preserve">млн. ру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блей,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что в сопоставимых ценах 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,2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больше продажи аналогичного периода предыдущего года. В структуре оборота розничной торговли их удельный вес составил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44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,2 процента.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товарной структуре розничной торговли пищевыми продуктами пред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приятий, не относящихся к субъектам малого предпринимательства, преобладают молочные продукты, продукты из мяса, кондитерские изделия, свежие фрукты, свежие овощи, мясо домашней птицы, рыба и морепродукты, яйцо птицы, а также хлеб и хлебобулочные изделия.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 январь-август 2026 года населению реализовано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непродовольственных товаров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сумму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103 401,7 млн. 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что 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,0%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больше, чем за соответствующий период 2025 года. Удельный вес непродовольственных товаров в обороте розничной торговли составил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55,8 процента.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1 сентября</w:t>
      </w:r>
      <w:r>
        <w:rPr>
          <w:rFonts w:ascii="Times New Roman" w:hAnsi="Times New Roman" w:eastAsia="Times New Roman" w:cs="Times New Roman"/>
          <w:sz w:val="28"/>
          <w:szCs w:val="28"/>
          <w:shd w:val="clear" w:color="ffffff" w:themeColor="background1" w:fill="ffffff" w:themeFill="background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года объем товарных запасов в организациях розничной торговли составил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12 821,7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млн. рублей.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Оборот оптовой торговли в январе-августе 2026 года составил        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183 164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млн. 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116,0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соответствующему периоду 2025 года. В том числе оборот оптовой торговли организаций оптовой торговли сложился в сумме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133 882,3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млн. 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73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,1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 январю-августу 2025 года и составил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101,8%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общего оборота оптовой торговли.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35"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Структура оборота оптовой торговли предприятий всех видов экономической деятельности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процентах к итогу)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contextualSpacing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январь-август 2026 года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contextualSpacing/>
        <w:ind w:firstLine="720"/>
        <w:jc w:val="left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contextualSpacing/>
        <w:ind w:firstLine="720"/>
        <w:jc w:val="left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458165" cy="2931121"/>
            <wp:effectExtent l="6350" t="6350" r="6350" b="6350"/>
            <wp:docPr id="3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spacing w:before="280" w:after="280" w:line="240" w:lineRule="atLeas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ind w:firstLine="720"/>
        <w:jc w:val="center"/>
        <w:spacing w:before="280" w:after="280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  <w:t xml:space="preserve">январь-август 2025 года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ind w:firstLine="720"/>
        <w:jc w:val="left"/>
        <w:spacing w:before="280" w:after="280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429590" cy="2974420"/>
            <wp:effectExtent l="6350" t="6350" r="6350" b="6350"/>
            <wp:docPr id="4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ind w:firstLine="709"/>
        <w:jc w:val="both"/>
        <w:spacing w:before="280" w:after="28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рейтингу среди республик и областей ПФО по индексу физического объема оборота оптовой торговли в январе-августе 2026 г. Республика Мордовия занимает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темп роста составил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116,0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процента.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Минимальное значение в Чувашской Республике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(77,7 процента)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_635"/>
        <w:ind w:firstLine="0"/>
        <w:jc w:val="center"/>
        <w:spacing w:before="280" w:after="28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Оборот оптовой торговли в январе-августе 2026 года</w:t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(по организациям всех видов деятельности)</w:t>
      </w:r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ind w:firstLine="0"/>
        <w:jc w:val="left"/>
        <w:spacing w:before="280" w:after="2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764553" cy="3110776"/>
            <wp:effectExtent l="4763" t="4763" r="4763" b="4762"/>
            <wp:docPr id="5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1_635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contextualSpacing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январе-августе 2026 года оборот общественного питания составил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9 572,0 млн. 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что 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1,7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%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ниже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января-августа 2025 года.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contextualSpacing/>
        <w:ind w:firstLine="720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635"/>
        <w:jc w:val="center"/>
        <w:spacing w:before="280" w:after="28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Оборот общественного питания в январе-августе 2026 года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jc w:val="left"/>
        <w:spacing w:before="280" w:after="28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783602" cy="3086317"/>
            <wp:effectExtent l="4763" t="4763" r="4763" b="4762"/>
            <wp:docPr id="6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1_635"/>
        <w:ind w:firstLine="720"/>
        <w:jc w:val="both"/>
        <w:spacing w:before="280" w:after="28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индексу физического объема оборота общественного питания за январь-август 2026 года к соответствующему периоду 2025 года среди регионов ПФО Республика Мордовия занимает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11 место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(темп роста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101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процента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_635"/>
        <w:ind w:firstLine="720"/>
        <w:jc w:val="both"/>
        <w:spacing w:before="280" w:after="28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_635"/>
        <w:ind w:firstLine="720"/>
        <w:jc w:val="center"/>
        <w:spacing w:before="0" w:beforeAutospacing="0" w:after="0" w:afterAutospacing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Структура оборота общественного питания по хозяйствующим субъектам в январе-августе 2026 года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1_635"/>
        <w:ind w:firstLine="720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(в процентах к итогу, в фактически действовавших ценах)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tabs>
          <w:tab w:val="left" w:pos="360" w:leader="none"/>
          <w:tab w:val="clear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tabs>
          <w:tab w:val="left" w:pos="360" w:leader="none"/>
          <w:tab w:val="clear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drawing>
          <wp:inline distT="0" distB="0" distL="0" distR="0">
            <wp:extent cx="5839270" cy="3143617"/>
            <wp:effectExtent l="4763" t="4763" r="4763" b="4762"/>
            <wp:docPr id="7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0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18"/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Сводный индекс потребительских цен на все товары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услуги в августе 2026 года (к предыдущему месяцу) составил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99,96%, в том числе по продовольственным товарам – 99,8%,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непродовольственным – 100,7% и услугам – 99,4%.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Индекс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товары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авгу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предыдущему месяцу) составил 100,1%. Индекс на все товары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услуги без овощей, картофеля и фруктов в августе 2026 года (к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предыдущему месяцу) составил 100,5%.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августе цены на плодоовощную продукцию изменились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следующим образом: виноград стал дешевле на 20,5%, картофель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на 19,9%, капуста белокочанная свежая – на 19,8%, морковь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17,4%, свёкла столовая – на 16,9%, лимоны – на 16,6%,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помидоры свежие – на 15,7%, лук репчатый – на 14,2%, чеснок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6,8%, бананы – на 4,6%, огурцы свежие – на 3,5%, груши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2,3%, грибы свежие – на 0,9%. В свою очередь на 10,1% стали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дороже апельсины, на 2,5% – овощи замороженные, на 1,3%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ягоды замороженные, на 1,0% – зелень свежая.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августе среди прочих наблюдаемых продовольственных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товаров наибольшее повышение цен отмечено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крупу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гречневую-ядрицу на 4,1%, сахар-песок – на 3,4%, окорочка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куриные – на 2,8%, пшено – на 2,5%, мёд пчелиный натуральный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масло подсолнечное – на 2,3%, консервы рыбные натуральные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с добавлением масла – на 2,1%, кулинарные изделия из птицы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2,0%, рыбу мороженую неразделанную – на 1,9%, творожок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детский – на 1,7%, филе рыбное – на 1,6%,овощи натуральные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консервированные, маринованные – на 1,5%, воду питьевую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1,4%, рыбу охлажденную и мороженую разделанную лососевых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пород – на 1,3%, макаронные изделия из пшеничной муки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высшего сорта – на 1,2%, куры охлажденные и мороженые и воду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минеральную – на 1,1%, свинину бескостную, сельдь соленую,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консервы мясные для детского питания, молоко питьевое цельное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ультрапастеризованное 2,5-3,2% жирности – на 1,0%.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 же время подешевели: яйца куриные – на 2,9%,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кальмары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мороженые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горошек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зеленый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консервированный – на 2,0%, молоко для детей и кофе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натуральный в зернах и молотый – на 1,9%, национальные сыры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брынза – на 1,8%, йогурт – на 1,7%, кофе натуральный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растворимый – на 1,6%, чай черный байховый – на 1,4%, масло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оливковое и хлопья из злаков (сухие завтраки) – на 1,3%, печень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говяжья, свиная, сырки творожные, глазированные и творог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1,0%.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августе цены на непродовольственные товары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среднем за месяц выросли на 0,7%. Здесь наиболее всего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подорожали: свежесрезанные цветы – на 2,3%, флеш-накопитель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USB, смартфон, костюм спортивный для взрослых – на 1,8%,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матрас детский – на 1,6%, паста зубная – на 1,5%, цемент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тарированный – на 1,4%, краска для волос – на 1,3%, набор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фломастеров,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рубероид,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рубашка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верхняя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мальчиков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школьного возраста, коляска для новорожденного – на 1,2%,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тетрадь школьная, подушка, бумага туалетная, шкаф навесной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кухонный (полка), сковорода, соска (пустышка) детская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1,1%,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краски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масляные,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эмали,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костюм-двойка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мужской,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еврошифер, ранец, рюкзак для школьников, бритвенные станки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одноразовые и полуботинки мужские с верхом из искусственной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кожи – на 1,0%.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Вместе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тем,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снизились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плиты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древесностружечные, ориентированно-стружечные - на 4,0%,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печь микроволновую – на 3,6%, пальто женское меховое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дубленку - на 2,5%, джемпер для детей школьного возраста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2,4%, кроссовые туфли для взрослых – на 2,2%, холодильник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двухкамерный – на 2,1%, пеленки для новорожденных, туфли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детские летние (сандалеты), жидкие средства для стирки –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1,9%, учебник, учебное пособие, дидактический материал 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общеобразовательной школы, стул с мягким сиденьем – на 1,5%,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светильник потолочный – на 1,4%.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бензин автомобильный цены повысились на 2,6%,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дизельное топливо и газовое моторное топливо снизились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2,6% и 1,2% соответственно.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Индекс цен (тарифов) на услуги </w:t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августе 2026 г. (к предыдущему месяцу) по Республике Мордовия составил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99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процента.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Индекс цен на бытовые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августе 2026 года (к предыдущему месяцу) в целом по Республике Мордовия составил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100,9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процента.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Стоимость условного (минимального) набора продуктов питания,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рассчитанного на месяц в среднем по республике в конце августа 2026 г. составила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6 415,78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рубля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по сравнению с предыдущим месяцем снизилась 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2,7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процента.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/>
    </w:p>
    <w:p>
      <w:pPr>
        <w:pStyle w:val="618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618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618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Информация подготовлена </w:t>
        <w:br/>
        <w:t xml:space="preserve">отделом развития торговли и потребительских услуг </w:t>
        <w:br/>
        <w:t xml:space="preserve"> по данным Мордовиястат</w:t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pStyle w:val="618"/>
      </w:pPr>
      <w:r/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SimSun">
    <w:panose1 w:val="02000506000000020000"/>
  </w:font>
  <w:font w:name="Mangal">
    <w:panose1 w:val="0204050305040603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  <w:style w:type="paragraph" w:styleId="1_635" w:customStyle="1">
    <w:name w:val="Normal (Web)"/>
    <w:basedOn w:val="656"/>
    <w:link w:val="717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NSimSun" w:cs="Mangal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hart" Target="charts/chart1.xml" /><Relationship Id="rId9" Type="http://schemas.openxmlformats.org/officeDocument/2006/relationships/chart" Target="charts/chart2.xml" /><Relationship Id="rId10" Type="http://schemas.openxmlformats.org/officeDocument/2006/relationships/chart" Target="charts/chart3.xml" /><Relationship Id="rId11" Type="http://schemas.openxmlformats.org/officeDocument/2006/relationships/chart" Target="charts/chart4.xml" /><Relationship Id="rId12" Type="http://schemas.openxmlformats.org/officeDocument/2006/relationships/chart" Target="charts/chart5.xml" /><Relationship Id="rId13" Type="http://schemas.openxmlformats.org/officeDocument/2006/relationships/chart" Target="charts/chart6.xml" /><Relationship Id="rId14" Type="http://schemas.openxmlformats.org/officeDocument/2006/relationships/chart" Target="charts/chart7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5.xlsx" /></Relationships>
</file>

<file path=word/charts/_rels/chart6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6.xlsx" /></Relationships>
</file>

<file path=word/charts/_rels/chart7.xml.rels><?xml version="1.0" encoding="UTF-8" standalone="yes"?><Relationships xmlns="http://schemas.openxmlformats.org/package/2006/relationships"><Relationship Id="rId1" Type="http://schemas.microsoft.com/office/2011/relationships/chartStyle" Target="style4.xml" /><Relationship Id="rId2" Type="http://schemas.microsoft.com/office/2011/relationships/chartColorStyle" Target="colors4.xml" /><Relationship Id="rId3" Type="http://schemas.openxmlformats.org/officeDocument/2006/relationships/package" Target="../embeddings/Microsoft_Excel_Worksheet7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>
        <c:manualLayout>
          <c:layoutTarget val="inner"/>
          <c:xMode val="edge"/>
          <c:yMode val="edge"/>
          <c:x val="0.230330"/>
          <c:y val="0.049460"/>
          <c:w val="0.711750"/>
          <c:h val="0.733450"/>
        </c:manualLayout>
      </c:layout>
      <c:barChart>
        <c:barDir val="bar"/>
        <c:grouping val="standard"/>
        <c:varyColors val="0"/>
        <c:ser>
          <c:idx val="0"/>
          <c:order val="0"/>
          <c:tx>
            <c:v>2026</c:v>
          </c:tx>
          <c:spPr bwMode="auto">
            <a:prstGeom prst="rect">
              <a:avLst/>
            </a:prstGeom>
            <a:solidFill>
              <a:srgbClr val="4F81BD"/>
            </a:solidFill>
            <a:ln w="3175">
              <a:noFill/>
            </a:ln>
          </c:spPr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август_26!$A$3:$A$10</c:f>
              <c:strCache>
                <c:ptCount val="8"/>
                <c:pt idx="0">
                  <c:v>январь</c:v>
                </c:pt>
                <c:pt idx="1">
                  <c:v>январь-февраль</c:v>
                </c:pt>
                <c:pt idx="2">
                  <c:v>январь-март</c:v>
                </c:pt>
                <c:pt idx="3">
                  <c:v>январь-апрель</c:v>
                </c:pt>
                <c:pt idx="4">
                  <c:v>январь-май</c:v>
                </c:pt>
                <c:pt idx="5">
                  <c:v>январь-июнь</c:v>
                </c:pt>
                <c:pt idx="6">
                  <c:v>январь-июль</c:v>
                </c:pt>
                <c:pt idx="7">
                  <c:v>январь-август</c:v>
                </c:pt>
              </c:strCache>
            </c:strRef>
          </c:cat>
          <c:val>
            <c:numRef>
              <c:f>август_26!$B$3:$B$10</c:f>
              <c:numCache>
                <c:formatCode>General</c:formatCode>
                <c:ptCount val="8"/>
                <c:pt idx="0" formatCode="General">
                  <c:v>108.2</c:v>
                </c:pt>
                <c:pt idx="1" formatCode="General">
                  <c:v>106.9</c:v>
                </c:pt>
                <c:pt idx="2" formatCode="General">
                  <c:v>107.3</c:v>
                </c:pt>
                <c:pt idx="3" formatCode="0.0">
                  <c:v>107</c:v>
                </c:pt>
                <c:pt idx="4" formatCode="General">
                  <c:v>107.6</c:v>
                </c:pt>
                <c:pt idx="5" formatCode="0.0">
                  <c:v>108.1</c:v>
                </c:pt>
                <c:pt idx="6" formatCode="0.0">
                  <c:v>107.7</c:v>
                </c:pt>
                <c:pt idx="7" formatCode="General">
                  <c:v>107</c:v>
                </c:pt>
              </c:numCache>
            </c:numRef>
          </c:val>
        </c:ser>
        <c:ser>
          <c:idx val="1"/>
          <c:order val="1"/>
          <c:tx>
            <c:v>2025</c:v>
          </c:tx>
          <c:spPr bwMode="auto">
            <a:prstGeom prst="rect">
              <a:avLst/>
            </a:prstGeom>
            <a:solidFill>
              <a:srgbClr val="F79646"/>
            </a:solidFill>
            <a:ln w="3175">
              <a:noFill/>
            </a:ln>
          </c:spPr>
          <c:dPt>
            <c:idx val="0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4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5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6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Pt>
            <c:idx val="7"/>
            <c:spPr bwMode="auto">
              <a:prstGeom prst="rect">
                <a:avLst/>
              </a:prstGeom>
              <a:solidFill>
                <a:srgbClr val="F79646"/>
              </a:solidFill>
              <a:ln w="3175">
                <a:noFill/>
              </a:ln>
            </c:spPr>
          </c:dPt>
          <c:dLbls>
            <c:dLbl>
              <c:idx val="0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4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5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6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7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август_26!$A$3:$A$10</c:f>
              <c:strCache>
                <c:ptCount val="8"/>
                <c:pt idx="0">
                  <c:v>январь</c:v>
                </c:pt>
                <c:pt idx="1">
                  <c:v>январь-февраль</c:v>
                </c:pt>
                <c:pt idx="2">
                  <c:v>январь-март</c:v>
                </c:pt>
                <c:pt idx="3">
                  <c:v>январь-апрель</c:v>
                </c:pt>
                <c:pt idx="4">
                  <c:v>январь-май</c:v>
                </c:pt>
                <c:pt idx="5">
                  <c:v>январь-июнь</c:v>
                </c:pt>
                <c:pt idx="6">
                  <c:v>январь-июль</c:v>
                </c:pt>
                <c:pt idx="7">
                  <c:v>январь-август</c:v>
                </c:pt>
              </c:strCache>
            </c:strRef>
          </c:cat>
          <c:val>
            <c:numRef>
              <c:f>август_26!$C$3:$C$10</c:f>
              <c:numCache>
                <c:formatCode>General</c:formatCode>
                <c:ptCount val="8"/>
                <c:pt idx="0" formatCode="0.0">
                  <c:v>108</c:v>
                </c:pt>
                <c:pt idx="1" formatCode="General">
                  <c:v>105.2</c:v>
                </c:pt>
                <c:pt idx="2" formatCode="General">
                  <c:v>105.9</c:v>
                </c:pt>
                <c:pt idx="3" formatCode="General">
                  <c:v>106.9</c:v>
                </c:pt>
                <c:pt idx="4" formatCode="General">
                  <c:v>108.1</c:v>
                </c:pt>
                <c:pt idx="5" formatCode="0.0">
                  <c:v>108.7</c:v>
                </c:pt>
                <c:pt idx="6" formatCode="General">
                  <c:v>109.4</c:v>
                </c:pt>
                <c:pt idx="7" formatCode="General">
                  <c:v>109.8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1866169635"/>
        <c:axId val="1866169636"/>
      </c:barChart>
      <c:catAx>
        <c:axId val="1866169635"/>
        <c:scaling>
          <c:orientation val="minMax"/>
        </c:scaling>
        <c:delete val="0"/>
        <c:axPos val="l"/>
        <c:numFmt formatCode="General" sourceLinked="1"/>
        <c:majorTickMark val="cross"/>
        <c:minorTickMark val="cross"/>
        <c:tickLblPos val="nextTo"/>
        <c:spPr bwMode="auto">
          <a:prstGeom prst="rect">
            <a:avLst/>
          </a:prstGeom>
          <a:ln w="12700">
            <a:solidFill>
              <a:srgbClr val="868686"/>
            </a:solidFill>
            <a:prstDash val="solid"/>
          </a:ln>
        </c:spPr>
        <c:txPr>
          <a:bodyPr rot="0" vert="horz"/>
          <a:p>
            <a:pPr>
              <a:defRPr sz="1000" b="0" i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/>
          </a:p>
        </c:txPr>
        <c:crossAx val="1866169636"/>
        <c:crosses val="autoZero"/>
        <c:auto val="0"/>
        <c:noMultiLvlLbl val="0"/>
      </c:catAx>
      <c:valAx>
        <c:axId val="1866169636"/>
        <c:scaling>
          <c:orientation val="minMax"/>
        </c:scaling>
        <c:delete val="0"/>
        <c:axPos val="b"/>
        <c:majorGridlines>
          <c:spPr bwMode="auto">
            <a:prstGeom prst="rect">
              <a:avLst/>
            </a:prstGeom>
            <a:ln w="12700">
              <a:solidFill>
                <a:srgbClr val="868686"/>
              </a:solidFill>
              <a:prstDash val="solid"/>
            </a:ln>
          </c:spPr>
        </c:majorGridlines>
        <c:numFmt formatCode="General" sourceLinked="1"/>
        <c:majorTickMark val="cross"/>
        <c:minorTickMark val="cross"/>
        <c:tickLblPos val="nextTo"/>
        <c:spPr bwMode="auto">
          <a:prstGeom prst="rect">
            <a:avLst/>
          </a:prstGeom>
          <a:ln w="12700">
            <a:solidFill>
              <a:srgbClr val="868686"/>
            </a:solidFill>
            <a:prstDash val="solid"/>
          </a:ln>
        </c:spPr>
        <c:txPr>
          <a:bodyPr rot="0" vert="horz"/>
          <a:p>
            <a:pPr>
              <a:defRPr sz="1000" b="0" i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/>
          </a:p>
        </c:txPr>
        <c:crossAx val="1866169635"/>
        <c:crosses val="autoZero"/>
        <c:crossBetween val="midCat"/>
      </c:valAx>
      <c:spPr bwMode="auto">
        <a:prstGeom prst="rect">
          <a:avLst/>
        </a:prstGeom>
        <a:ln w="3175">
          <a:noFill/>
        </a:ln>
      </c:spPr>
    </c:plotArea>
    <c:legend>
      <c:legendPos val="t"/>
      <c:layout>
        <c:manualLayout>
          <c:x val="0.019860"/>
          <c:y val="0.884990"/>
        </c:manualLayout>
      </c:layout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1000" b="0" i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5915364" cy="3198349"/>
    </a:xfrm>
    <a:prstGeom prst="rect">
      <a:avLst/>
    </a:prstGeom>
    <a:ln w="12700">
      <a:solidFill>
        <a:srgbClr val="868686"/>
      </a:solidFill>
      <a:prstDash val="solid"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/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август_26!$A$20:$A$33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август_26!$B$20:$B$33</c:f>
              <c:numCache>
                <c:formatCode>General</c:formatCode>
                <c:ptCount val="14"/>
                <c:pt idx="0" formatCode="General">
                  <c:v>107</c:v>
                </c:pt>
                <c:pt idx="1" formatCode="0.0">
                  <c:v>112.1</c:v>
                </c:pt>
                <c:pt idx="2" formatCode="General">
                  <c:v>109.2</c:v>
                </c:pt>
                <c:pt idx="3" formatCode="0.0">
                  <c:v>106.8</c:v>
                </c:pt>
                <c:pt idx="4" formatCode="0.0">
                  <c:v>108.4</c:v>
                </c:pt>
                <c:pt idx="5" formatCode="0.0">
                  <c:v>106.7</c:v>
                </c:pt>
                <c:pt idx="6" formatCode="0.0">
                  <c:v>105</c:v>
                </c:pt>
                <c:pt idx="7" formatCode="0.0">
                  <c:v>106</c:v>
                </c:pt>
                <c:pt idx="8" formatCode="0.0">
                  <c:v>107.4</c:v>
                </c:pt>
                <c:pt idx="9" formatCode="0.0">
                  <c:v>109.3</c:v>
                </c:pt>
                <c:pt idx="10" formatCode="0.0">
                  <c:v>106.3</c:v>
                </c:pt>
                <c:pt idx="11" formatCode="0.0">
                  <c:v>104.4</c:v>
                </c:pt>
                <c:pt idx="12" formatCode="0.0">
                  <c:v>105.2</c:v>
                </c:pt>
                <c:pt idx="13" formatCode="0.0">
                  <c:v>109.2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marker val="1"/>
        <c:smooth val="1"/>
        <c:axId val="1866169657"/>
        <c:axId val="1866169658"/>
      </c:lineChart>
      <c:catAx>
        <c:axId val="1866169657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58"/>
        <c:crosses val="autoZero"/>
        <c:auto val="0"/>
        <c:lblOffset val="100"/>
        <c:tickMarkSkip val="1"/>
        <c:noMultiLvlLbl val="0"/>
      </c:catAx>
      <c:valAx>
        <c:axId val="1866169658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57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zero"/>
    <c:showDLblsOverMax val="0"/>
  </c:chart>
  <c:spPr bwMode="auto">
    <a:xfrm>
      <a:off x="0" y="0"/>
      <a:ext cx="5964577" cy="3050001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view3D>
      <c:rotX val="15"/>
      <c:depthPercent val="100"/>
      <c:rAngAx val="1"/>
    </c:view3D>
    <c:floor/>
    <c:sideWall/>
    <c:backWall/>
    <c:plotArea>
      <c:layout/>
      <c:pie3DChart>
        <c:varyColors val="0"/>
        <c:ser>
          <c:idx val="0"/>
          <c:order val="0"/>
          <c:spPr bwMode="auto">
            <a:prstGeom prst="rect">
              <a:avLst/>
            </a:prstGeom>
            <a:noFill/>
            <a:ln w="3175">
              <a:noFill/>
            </a:ln>
          </c:spPr>
          <c:explosion val="0"/>
          <c:dPt>
            <c:idx val="0"/>
            <c:spPr bwMode="auto">
              <a:prstGeom prst="rect">
                <a:avLst/>
              </a:prstGeom>
              <a:solidFill>
                <a:srgbClr val="4F81BD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C0504D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9BBB59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8064A2"/>
              </a:solidFill>
              <a:ln w="3175">
                <a:noFill/>
              </a:ln>
            </c:spPr>
          </c:dPt>
          <c:dLbls>
            <c:dLbl>
              <c:idx val="0"/>
              <c:layout>
                <c:manualLayout>
                  <c:x val="-0.200110"/>
                  <c:y val="0.07370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>
                <c:manualLayout>
                  <c:x val="0.001980"/>
                  <c:y val="0.00000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август_26!$A$47:$A$50</c:f>
              <c:strCache>
                <c:ptCount val="4"/>
                <c:pt idx="0">
                  <c:v xml:space="preserve">организации, не являющиеся субъектами малого и среднего предпринимательства;</c:v>
                </c:pt>
                <c:pt idx="1">
                  <c:v xml:space="preserve">субъекты среднего предпринимательства;</c:v>
                </c:pt>
                <c:pt idx="2">
                  <c:v xml:space="preserve">субъекты малого предпринимательства;</c:v>
                </c:pt>
                <c:pt idx="3">
                  <c:v xml:space="preserve">организации со средней численностью работников до 15 человек, не являющиеся субъектами малого предпринимательства;</c:v>
                </c:pt>
              </c:strCache>
            </c:strRef>
          </c:cat>
          <c:val>
            <c:numRef>
              <c:f>август_26!$B$47:$B$50</c:f>
              <c:numCache>
                <c:formatCode>0.0</c:formatCode>
                <c:ptCount val="4"/>
                <c:pt idx="0">
                  <c:v>48.7</c:v>
                </c:pt>
                <c:pt idx="1">
                  <c:v>16.1</c:v>
                </c:pt>
                <c:pt idx="2">
                  <c:v>35.1</c:v>
                </c:pt>
                <c:pt idx="3">
                  <c:v>0.1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</c:pie3DChart>
    </c:plotArea>
    <c:legend>
      <c:legendPos val="t"/>
      <c:layout>
        <c:manualLayout>
          <c:x val="0.000000"/>
          <c:y val="-0.009610"/>
        </c:manualLayout>
      </c:layout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1000" b="0" i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5458164" cy="2931120"/>
    </a:xfrm>
    <a:prstGeom prst="rect">
      <a:avLst/>
    </a:prstGeom>
    <a:ln w="12700">
      <a:solidFill>
        <a:srgbClr val="868686"/>
      </a:solidFill>
      <a:prstDash val="solid"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view3D>
      <c:rotX val="15"/>
      <c:depthPercent val="100"/>
      <c:rAngAx val="1"/>
    </c:view3D>
    <c:floor/>
    <c:sideWall/>
    <c:backWall/>
    <c:plotArea>
      <c:layout/>
      <c:pie3DChart>
        <c:varyColors val="0"/>
        <c:ser>
          <c:idx val="0"/>
          <c:order val="0"/>
          <c:spPr bwMode="auto">
            <a:prstGeom prst="rect">
              <a:avLst/>
            </a:prstGeom>
            <a:noFill/>
            <a:ln w="3175">
              <a:noFill/>
            </a:ln>
          </c:spPr>
          <c:explosion val="0"/>
          <c:dPt>
            <c:idx val="0"/>
            <c:spPr bwMode="auto">
              <a:prstGeom prst="rect">
                <a:avLst/>
              </a:prstGeom>
              <a:solidFill>
                <a:srgbClr val="4F81BD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C0504D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9BBB59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8064A2"/>
              </a:solidFill>
              <a:ln w="3175">
                <a:noFill/>
              </a:ln>
            </c:spPr>
          </c:dPt>
          <c:dLbls>
            <c:dLbl>
              <c:idx val="0"/>
              <c:layout>
                <c:manualLayout>
                  <c:x val="-0.029820"/>
                  <c:y val="-0.16972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>
                <c:manualLayout>
                  <c:x val="0.019290"/>
                  <c:y val="0.02882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>
                <c:manualLayout>
                  <c:x val="-0.001750"/>
                  <c:y val="0.12168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август_26!$A$67:$A$70</c:f>
              <c:strCache>
                <c:ptCount val="4"/>
                <c:pt idx="0">
                  <c:v xml:space="preserve">организации, не являющиеся субъектами малого и среднего предпринимательства;</c:v>
                </c:pt>
                <c:pt idx="1">
                  <c:v xml:space="preserve">субъекты среднего предпринимательства;</c:v>
                </c:pt>
                <c:pt idx="2">
                  <c:v xml:space="preserve">субъекты малого предпринимательства;</c:v>
                </c:pt>
                <c:pt idx="3">
                  <c:v xml:space="preserve">организации со среднесписочной численностью работников до 15 человек, не являющиеся субъектами малого предпринимательства;</c:v>
                </c:pt>
              </c:strCache>
            </c:strRef>
          </c:cat>
          <c:val>
            <c:numRef>
              <c:f>август_26!$B$67:$B$70</c:f>
              <c:numCache>
                <c:formatCode>0.0</c:formatCode>
                <c:ptCount val="4"/>
                <c:pt idx="0">
                  <c:v>55.8</c:v>
                </c:pt>
                <c:pt idx="1">
                  <c:v>3.8</c:v>
                </c:pt>
                <c:pt idx="2">
                  <c:v>40.2</c:v>
                </c:pt>
                <c:pt idx="3">
                  <c:v>0.2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</c:pie3DChart>
    </c:plotArea>
    <c:legend>
      <c:legendPos val="t"/>
      <c:layout>
        <c:manualLayout>
          <c:x val="-0.001750"/>
          <c:y val="-0.006400"/>
        </c:manualLayout>
      </c:layout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1000" b="0" i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5429588" cy="2974419"/>
    </a:xfrm>
    <a:prstGeom prst="rect">
      <a:avLst/>
    </a:prstGeom>
    <a:ln w="12700">
      <a:solidFill>
        <a:srgbClr val="868686"/>
      </a:solidFill>
      <a:prstDash val="solid"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 w="9525">
                <a:solidFill>
                  <a:schemeClr val="accent1"/>
                </a:solidFill>
              </a:ln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август_26!$A$88:$A$101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август_26!$B$88:$B$101</c:f>
              <c:numCache>
                <c:formatCode>0.0</c:formatCode>
                <c:ptCount val="14"/>
                <c:pt idx="0">
                  <c:v>116</c:v>
                </c:pt>
                <c:pt idx="1">
                  <c:v>117</c:v>
                </c:pt>
                <c:pt idx="2">
                  <c:v>86.1</c:v>
                </c:pt>
                <c:pt idx="3">
                  <c:v>110.2</c:v>
                </c:pt>
                <c:pt idx="4">
                  <c:v>111.2</c:v>
                </c:pt>
                <c:pt idx="5">
                  <c:v>77.7</c:v>
                </c:pt>
                <c:pt idx="6">
                  <c:v>94.1</c:v>
                </c:pt>
                <c:pt idx="7">
                  <c:v>106.1</c:v>
                </c:pt>
                <c:pt idx="8">
                  <c:v>105.4</c:v>
                </c:pt>
                <c:pt idx="9">
                  <c:v>92.6</c:v>
                </c:pt>
                <c:pt idx="10">
                  <c:v>85.6</c:v>
                </c:pt>
                <c:pt idx="11">
                  <c:v>110.9</c:v>
                </c:pt>
                <c:pt idx="12">
                  <c:v>101.1</c:v>
                </c:pt>
                <c:pt idx="13">
                  <c:v>104.9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marker val="1"/>
        <c:smooth val="1"/>
        <c:axId val="1866169639"/>
        <c:axId val="1866169640"/>
      </c:lineChart>
      <c:catAx>
        <c:axId val="1866169639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40"/>
        <c:crosses val="autoZero"/>
        <c:auto val="0"/>
        <c:lblOffset val="100"/>
        <c:tickMarkSkip val="1"/>
        <c:noMultiLvlLbl val="0"/>
      </c:catAx>
      <c:valAx>
        <c:axId val="1866169640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0.0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39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zero"/>
    <c:showDLblsOverMax val="0"/>
  </c:chart>
  <c:spPr bwMode="auto">
    <a:xfrm>
      <a:off x="0" y="0"/>
      <a:ext cx="5764551" cy="3110775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 w="9525">
                <a:solidFill>
                  <a:schemeClr val="accent1"/>
                </a:solidFill>
              </a:ln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август_26!$A$106:$A$119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август_26!$B$106:$B$119</c:f>
              <c:numCache>
                <c:formatCode>General</c:formatCode>
                <c:ptCount val="14"/>
                <c:pt idx="0" formatCode="0.0">
                  <c:v>101.7</c:v>
                </c:pt>
                <c:pt idx="1" formatCode="General">
                  <c:v>104</c:v>
                </c:pt>
                <c:pt idx="2" formatCode="General">
                  <c:v>113.8</c:v>
                </c:pt>
                <c:pt idx="3" formatCode="0.0">
                  <c:v>107.1</c:v>
                </c:pt>
                <c:pt idx="4" formatCode="0.0">
                  <c:v>102.4</c:v>
                </c:pt>
                <c:pt idx="5" formatCode="0.0">
                  <c:v>106.9</c:v>
                </c:pt>
                <c:pt idx="6" formatCode="0.0">
                  <c:v>101.4</c:v>
                </c:pt>
                <c:pt idx="7" formatCode="0.0">
                  <c:v>104.2</c:v>
                </c:pt>
                <c:pt idx="8" formatCode="0.0">
                  <c:v>109.8</c:v>
                </c:pt>
                <c:pt idx="9" formatCode="0.0">
                  <c:v>100.3</c:v>
                </c:pt>
                <c:pt idx="10" formatCode="0.0">
                  <c:v>96</c:v>
                </c:pt>
                <c:pt idx="11" formatCode="0.0">
                  <c:v>104</c:v>
                </c:pt>
                <c:pt idx="12" formatCode="0.0">
                  <c:v>109.6</c:v>
                </c:pt>
                <c:pt idx="13" formatCode="0.0">
                  <c:v>107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marker val="1"/>
        <c:smooth val="1"/>
        <c:axId val="1866169641"/>
        <c:axId val="1866169642"/>
      </c:lineChart>
      <c:catAx>
        <c:axId val="1866169641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42"/>
        <c:crosses val="autoZero"/>
        <c:auto val="0"/>
        <c:lblOffset val="100"/>
        <c:tickMarkSkip val="1"/>
        <c:noMultiLvlLbl val="0"/>
      </c:catAx>
      <c:valAx>
        <c:axId val="186616964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0.0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641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zero"/>
    <c:showDLblsOverMax val="0"/>
  </c:chart>
  <c:spPr bwMode="auto">
    <a:xfrm>
      <a:off x="0" y="0"/>
      <a:ext cx="5783601" cy="3086316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view3D>
      <c:rotX val="3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/>
      </c:layout>
      <c:pie3DChart>
        <c:varyColors val="1"/>
        <c:ser>
          <c:idx val="0"/>
          <c:order val="0"/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 w="19050">
                <a:solidFill>
                  <a:schemeClr val="lt1"/>
                </a:solidFill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</c:dPt>
          <c:dPt>
            <c:idx val="4"/>
            <c:spPr bwMode="auto"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</c:dPt>
          <c:dLbls>
            <c:dLbl>
              <c:idx val="0"/>
              <c:dLblPos val="ctr"/>
              <c:layout>
                <c:manualLayout>
                  <c:x val="0.017940"/>
                  <c:y val="-0.02124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>
                <c:manualLayout>
                  <c:x val="0.034250"/>
                  <c:y val="0.00000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3"/>
              <c:dLblPos val="ctr"/>
              <c:layout>
                <c:manualLayout>
                  <c:x val="-0.022830"/>
                  <c:y val="-0.01062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4"/>
              <c:dLblPos val="ctr"/>
              <c:layout>
                <c:manualLayout>
                  <c:x val="-0.008150"/>
                  <c:y val="-0.04515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eparator xml:space="preserve"> </c:separator>
            <c:showBubbleSize val="0"/>
            <c:showCatName val="0"/>
            <c:showLeaderLines val="1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 b="1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август_26!$A$129:$A$133</c:f>
              <c:strCache>
                <c:ptCount val="5"/>
                <c:pt idx="0">
                  <c:v xml:space="preserve">малые предприятия (без микропредприятий)</c:v>
                </c:pt>
                <c:pt idx="1">
                  <c:v xml:space="preserve">организации, не относящиеся к субъектам малого предпринимательства</c:v>
                </c:pt>
                <c:pt idx="2">
                  <c:v xml:space="preserve">индивидуальные предприниматели, осуществляющие свою деятельность в общественном питании</c:v>
                </c:pt>
                <c:pt idx="3">
                  <c:v>микропредприятия</c:v>
                </c:pt>
                <c:pt idx="4">
                  <c:v>самозанятые</c:v>
                </c:pt>
              </c:strCache>
            </c:strRef>
          </c:cat>
          <c:val>
            <c:numRef>
              <c:f>август_26!$B$129:$B$133</c:f>
              <c:numCache>
                <c:formatCode>General</c:formatCode>
                <c:ptCount val="5"/>
                <c:pt idx="0" formatCode="0.0">
                  <c:v>14.2</c:v>
                </c:pt>
                <c:pt idx="1" formatCode="0.0">
                  <c:v>14.6</c:v>
                </c:pt>
                <c:pt idx="2" formatCode="0.0">
                  <c:v>56.3</c:v>
                </c:pt>
                <c:pt idx="3" formatCode="0.0">
                  <c:v>12.2</c:v>
                </c:pt>
                <c:pt idx="4" formatCode="General">
                  <c:v>2.7</c:v>
                </c:pt>
              </c:numCache>
            </c:numRef>
          </c:val>
        </c:ser>
        <c:dLbls>
          <c:dLblPos val="ctr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5839269" cy="3143615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9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bogacheva_as</cp:lastModifiedBy>
  <cp:revision>1</cp:revision>
  <dcterms:modified xsi:type="dcterms:W3CDTF">2026-10-02T12:39:15Z</dcterms:modified>
</cp:coreProperties>
</file>