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chart7.xml" ContentType="application/vnd.openxmlformats-officedocument.drawingml.chart+xml"/>
  <Override PartName="/word/charts/style3.xml" ContentType="application/vnd.ms-office.chart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2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word/charts/colors3.xml" ContentType="application/vnd.ms-office.chartcolorstyle+xml"/>
  <Override PartName="/word/charts/chart2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harts/chart4.xml" ContentType="application/vnd.openxmlformats-officedocument.drawingml.chart+xml"/>
  <Override PartName="/word/settings.xml" ContentType="application/vnd.openxmlformats-officedocument.wordprocessingml.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9"/>
        <w:contextualSpacing/>
        <w:jc w:val="center"/>
        <w:spacing w:before="0" w:beforeAutospacing="0" w:after="0" w:afterAutospacing="0"/>
        <w:rPr>
          <w:sz w:val="32"/>
        </w:rPr>
      </w:pPr>
      <w:r>
        <w:rPr>
          <w:sz w:val="32"/>
        </w:rPr>
        <w:t xml:space="preserve">О состоянии потребительского рынка Республики Мордовия </w:t>
      </w:r>
      <w:r>
        <w:rPr>
          <w:sz w:val="32"/>
        </w:rPr>
      </w:r>
      <w:r>
        <w:rPr>
          <w:sz w:val="32"/>
        </w:rPr>
      </w:r>
    </w:p>
    <w:p>
      <w:pPr>
        <w:pStyle w:val="659"/>
        <w:contextualSpacing/>
        <w:jc w:val="center"/>
        <w:spacing w:before="0" w:beforeAutospacing="0" w:after="0" w:afterAutospacing="0"/>
        <w:rPr>
          <w:sz w:val="32"/>
        </w:rPr>
      </w:pPr>
      <w:r>
        <w:rPr>
          <w:sz w:val="32"/>
        </w:rPr>
        <w:t xml:space="preserve">за январь-июль 2026 года</w:t>
      </w:r>
      <w:r>
        <w:rPr>
          <w:sz w:val="32"/>
        </w:rPr>
      </w:r>
      <w:r>
        <w:rPr>
          <w:sz w:val="32"/>
        </w:rPr>
      </w:r>
    </w:p>
    <w:p>
      <w:pPr>
        <w:pStyle w:val="659"/>
        <w:contextualSpacing/>
        <w:spacing w:before="0" w:beforeAutospacing="0" w:after="0" w:afterAutospacing="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64"/>
        <w:contextualSpacing/>
        <w:ind w:firstLine="720"/>
        <w:jc w:val="both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За январь-июль 2026 года населению республики продано потребительских товаров через все каналы реализации на сумму                                                  </w:t>
      </w:r>
      <w:r>
        <w:rPr>
          <w:b/>
          <w:bCs/>
          <w:sz w:val="28"/>
          <w:highlight w:val="white"/>
        </w:rPr>
        <w:t xml:space="preserve">161 068,0</w:t>
      </w:r>
      <w:r>
        <w:rPr>
          <w:b/>
          <w:bCs/>
          <w:sz w:val="28"/>
        </w:rPr>
        <w:t xml:space="preserve"> </w:t>
      </w:r>
      <w:r>
        <w:rPr>
          <w:b/>
          <w:sz w:val="28"/>
        </w:rPr>
        <w:t xml:space="preserve">млн. рублей</w:t>
      </w:r>
      <w:r>
        <w:rPr>
          <w:sz w:val="28"/>
        </w:rPr>
        <w:t xml:space="preserve">, что в товарной массе на 7</w:t>
      </w:r>
      <w:r>
        <w:rPr>
          <w:b/>
          <w:bCs/>
          <w:sz w:val="28"/>
        </w:rPr>
        <w:t xml:space="preserve">,7 </w:t>
      </w:r>
      <w:r>
        <w:rPr>
          <w:sz w:val="28"/>
        </w:rPr>
        <w:t xml:space="preserve">процента больше, чем за аналогичный период 2025 года. </w:t>
      </w:r>
      <w:r>
        <w:rPr>
          <w:sz w:val="28"/>
        </w:rPr>
      </w:r>
      <w:r>
        <w:rPr>
          <w:sz w:val="28"/>
        </w:rPr>
      </w:r>
    </w:p>
    <w:p>
      <w:pPr>
        <w:pStyle w:val="764"/>
        <w:contextualSpacing/>
        <w:ind w:firstLine="720"/>
        <w:jc w:val="both"/>
        <w:spacing w:before="0" w:beforeAutospacing="0" w:after="0" w:afterAutospacing="0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 xml:space="preserve">Индексы физического объема оборота розничной торговли 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 xml:space="preserve">за 2025 – 2026 гг.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</w:pPr>
      <w:r>
        <w:t xml:space="preserve">(в процентах к соответствующему периоду предыдущего года)</w:t>
      </w:r>
      <w:r/>
    </w:p>
    <w:p>
      <w:pPr>
        <w:pStyle w:val="764"/>
        <w:jc w:val="center"/>
        <w:spacing w:before="0" w:after="280"/>
        <w:rPr>
          <w:sz w:val="28"/>
        </w:rPr>
      </w:pPr>
      <w:r>
        <w:drawing>
          <wp:inline distT="0" distB="0" distL="0" distR="0">
            <wp:extent cx="5553372" cy="2376451"/>
            <wp:effectExtent l="6350" t="6350" r="6350" b="6350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sz w:val="28"/>
        </w:rPr>
      </w:r>
      <w:r>
        <w:rPr>
          <w:sz w:val="28"/>
        </w:rPr>
      </w:r>
    </w:p>
    <w:p>
      <w:pPr>
        <w:pStyle w:val="764"/>
        <w:ind w:firstLine="709"/>
        <w:jc w:val="both"/>
        <w:spacing w:before="0" w:beforeAutospacing="0" w:after="0" w:afterAutospacing="0"/>
        <w:shd w:val="clear" w:color="ffffff" w:themeColor="background1" w:fill="ffffff" w:themeFill="background1"/>
      </w:pPr>
      <w:r>
        <w:rPr>
          <w:sz w:val="28"/>
        </w:rPr>
        <w:t xml:space="preserve">Оборот розничной торговли на </w:t>
      </w:r>
      <w:r>
        <w:rPr>
          <w:b/>
          <w:sz w:val="28"/>
        </w:rPr>
        <w:t xml:space="preserve">96,3%</w:t>
      </w:r>
      <w:r>
        <w:rPr>
          <w:sz w:val="28"/>
        </w:rPr>
        <w:t xml:space="preserve"> формировался торгующими организациями и индивидуальными предпринимателями, реализующими товары вне рынка, доля продажи на рынках и ярмарках составила                          </w:t>
      </w:r>
      <w:r>
        <w:rPr>
          <w:b/>
          <w:sz w:val="28"/>
        </w:rPr>
        <w:t xml:space="preserve">3,7%</w:t>
      </w:r>
      <w:r>
        <w:rPr>
          <w:sz w:val="28"/>
        </w:rPr>
        <w:t xml:space="preserve"> (в аналогичном периоде 2025 г. – 3,8 процента). </w:t>
      </w:r>
      <w:r/>
    </w:p>
    <w:p>
      <w:pPr>
        <w:pStyle w:val="764"/>
        <w:ind w:firstLine="720"/>
        <w:jc w:val="both"/>
        <w:spacing w:before="0" w:beforeAutospacing="0" w:after="0" w:afterAutospacing="0"/>
        <w:shd w:val="clear" w:color="ffffff" w:themeColor="background1" w:fill="ffffff" w:themeFill="background1"/>
        <w:rPr>
          <w:b/>
          <w:sz w:val="28"/>
        </w:rPr>
      </w:pPr>
      <w:r>
        <w:rPr>
          <w:sz w:val="28"/>
        </w:rPr>
        <w:t xml:space="preserve">По индексу физического объема оборота розничной торговли среди регионов ПФО Республика Мордовия занимает 6</w:t>
      </w:r>
      <w:r>
        <w:rPr>
          <w:b/>
          <w:bCs/>
          <w:sz w:val="28"/>
        </w:rPr>
        <w:t xml:space="preserve"> </w:t>
      </w:r>
      <w:r>
        <w:rPr>
          <w:b/>
          <w:sz w:val="28"/>
        </w:rPr>
        <w:t xml:space="preserve">место</w:t>
      </w:r>
      <w:r>
        <w:rPr>
          <w:sz w:val="28"/>
        </w:rPr>
        <w:t xml:space="preserve"> (темп роста – </w:t>
      </w:r>
      <w:r>
        <w:rPr>
          <w:b/>
          <w:sz w:val="28"/>
        </w:rPr>
        <w:t xml:space="preserve">107,7 процент). 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ind w:firstLine="0"/>
        <w:jc w:val="both"/>
        <w:spacing w:before="0" w:beforeAutospacing="0" w:after="0" w:afterAutospacing="0"/>
        <w:shd w:val="clear" w:color="ffffff" w:themeColor="background1" w:fill="ffffff" w:themeFill="background1"/>
        <w:rPr>
          <w:shd w:val="clear" w:color="auto" w:fill="ffff00"/>
        </w:rPr>
      </w:pPr>
      <w:r>
        <w:rPr>
          <w:shd w:val="clear" w:color="auto" w:fill="ffff00"/>
        </w:rPr>
      </w:r>
      <w:r>
        <w:rPr>
          <w:shd w:val="clear" w:color="auto" w:fill="ffff00"/>
        </w:rPr>
      </w:r>
      <w:r>
        <w:rPr>
          <w:shd w:val="clear" w:color="auto" w:fill="ffff00"/>
        </w:rPr>
      </w:r>
    </w:p>
    <w:p>
      <w:pPr>
        <w:pStyle w:val="764"/>
        <w:jc w:val="center"/>
        <w:spacing w:before="0" w:beforeAutospacing="0" w:after="0" w:afterAutospacing="0"/>
        <w:shd w:val="clear" w:color="ffffff" w:themeColor="background1" w:fill="ffffff" w:themeFill="background1"/>
        <w:rPr>
          <w:highlight w:val="none"/>
          <w:lang w:eastAsia="ru-RU" w:bidi="ar-SA"/>
        </w:rPr>
      </w:pPr>
      <w:r>
        <w:rPr>
          <w:b/>
          <w:sz w:val="28"/>
          <w:highlight w:val="yellow"/>
        </w:rPr>
      </w:r>
      <w:r>
        <w:rPr>
          <w:b/>
          <w:sz w:val="28"/>
        </w:rPr>
        <w:t xml:space="preserve">Оборот розничной торговли по регионам ПФО в январе-июле 2026 г.</w:t>
      </w:r>
      <w:r/>
      <w:r>
        <w:rPr>
          <w:b/>
          <w:sz w:val="28"/>
          <w:highlight w:val="yellow"/>
        </w:rPr>
      </w:r>
      <w:r>
        <w:rPr>
          <w:highlight w:val="none"/>
          <w:lang w:eastAsia="ru-RU" w:bidi="ar-SA"/>
        </w:rPr>
      </w:r>
    </w:p>
    <w:p>
      <w:pPr>
        <w:pStyle w:val="764"/>
        <w:jc w:val="left"/>
        <w:spacing w:before="0" w:beforeAutospacing="0" w:after="0" w:afterAutospacing="0"/>
        <w:shd w:val="clear" w:color="ffffff" w:themeColor="background1" w:fill="ffffff" w:themeFill="background1"/>
        <w:rPr>
          <w:highlight w:val="none"/>
          <w:lang w:eastAsia="ru-RU" w:bidi="ar-SA"/>
        </w:rPr>
      </w:pPr>
      <w:r>
        <w:rPr>
          <w:highlight w:val="none"/>
          <w:lang w:eastAsia="ru-RU" w:bidi="ar-SA"/>
        </w:rPr>
      </w:r>
      <w:r>
        <w:rPr>
          <w:highlight w:val="none"/>
          <w:lang w:eastAsia="ru-RU" w:bidi="ar-SA"/>
        </w:rPr>
      </w:r>
    </w:p>
    <w:p>
      <w:pPr>
        <w:pStyle w:val="764"/>
        <w:jc w:val="left"/>
        <w:spacing w:before="0" w:beforeAutospacing="0" w:after="0" w:afterAutospacing="0"/>
        <w:rPr>
          <w:highlight w:val="none"/>
        </w:rPr>
      </w:pPr>
      <w:r>
        <w:rPr>
          <w:highlight w:val="none"/>
          <w:lang w:eastAsia="ru-RU" w:bidi="ar-SA"/>
        </w:rPr>
      </w:r>
      <w:r/>
      <w:r>
        <w:drawing>
          <wp:inline distT="0" distB="0" distL="0" distR="0">
            <wp:extent cx="5780782" cy="2806551"/>
            <wp:effectExtent l="4762" t="4762" r="4762" b="4762"/>
            <wp:docPr id="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/>
      <w:r>
        <w:rPr>
          <w:highlight w:val="none"/>
          <w:lang w:eastAsia="ru-RU" w:bidi="ar-SA"/>
        </w:rPr>
      </w:r>
      <w:r>
        <w:rPr>
          <w:highlight w:val="none"/>
          <w:lang w:eastAsia="ru-RU" w:bidi="ar-SA"/>
        </w:rPr>
      </w: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  <w:r>
        <w:rPr>
          <w:highlight w:val="none"/>
          <w:lang w:eastAsia="ru-RU" w:bidi="ar-SA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764"/>
        <w:ind w:firstLine="709"/>
        <w:jc w:val="both"/>
        <w:spacing w:before="0" w:beforeAutospacing="0" w:after="0" w:afterAutospacing="0"/>
      </w:pPr>
      <w:r>
        <w:rPr>
          <w:sz w:val="28"/>
        </w:rPr>
        <w:t xml:space="preserve">За январь-июль 2026 года пищевых продуктов, включая напитки, и табачных изделий, продано населению на</w:t>
      </w:r>
      <w:r>
        <w:rPr>
          <w:b/>
          <w:sz w:val="28"/>
        </w:rPr>
        <w:t xml:space="preserve"> </w:t>
      </w:r>
      <w:r>
        <w:rPr>
          <w:b/>
          <w:sz w:val="28"/>
          <w:highlight w:val="yellow"/>
          <w:shd w:val="clear" w:color="ffffff" w:themeColor="background1" w:fill="ffffff" w:themeFill="background1"/>
        </w:rPr>
      </w:r>
      <w:r>
        <w:rPr>
          <w:b/>
          <w:sz w:val="28"/>
        </w:rPr>
        <w:t xml:space="preserve">71 283,9</w:t>
      </w:r>
      <w:r/>
      <w:r>
        <w:rPr>
          <w:b/>
          <w:sz w:val="28"/>
          <w:highlight w:val="yellow"/>
          <w:shd w:val="clear" w:color="ffffff" w:themeColor="background1" w:fill="ffffff" w:themeFill="background1"/>
        </w:rPr>
      </w:r>
      <w:r>
        <w:rPr>
          <w:b/>
          <w:sz w:val="28"/>
          <w:shd w:val="clear" w:color="ffffff" w:themeColor="background1" w:fill="ffffff" w:themeFill="background1"/>
        </w:rPr>
        <w:t xml:space="preserve"> млн. ру</w:t>
      </w:r>
      <w:r>
        <w:rPr>
          <w:b/>
          <w:sz w:val="28"/>
        </w:rPr>
        <w:t xml:space="preserve">блей,</w:t>
      </w:r>
      <w:r>
        <w:rPr>
          <w:sz w:val="28"/>
        </w:rPr>
        <w:t xml:space="preserve"> что в сопоставимых ценах на </w:t>
      </w:r>
      <w:r>
        <w:rPr>
          <w:b/>
          <w:bCs/>
          <w:sz w:val="28"/>
        </w:rPr>
        <w:t xml:space="preserve">8</w:t>
      </w:r>
      <w:r>
        <w:rPr>
          <w:b/>
          <w:bCs/>
          <w:sz w:val="28"/>
        </w:rPr>
        <w:t xml:space="preserve">,0</w:t>
      </w:r>
      <w:r>
        <w:rPr>
          <w:b/>
          <w:sz w:val="28"/>
        </w:rPr>
        <w:t xml:space="preserve">% </w:t>
      </w:r>
      <w:r>
        <w:rPr>
          <w:sz w:val="28"/>
        </w:rPr>
        <w:t xml:space="preserve">больше продажи аналогичного периода предыдущего года. В структуре оборота розничной торговли их удельный вес составил </w:t>
      </w:r>
      <w:r>
        <w:rPr>
          <w:b/>
          <w:bCs/>
          <w:sz w:val="28"/>
        </w:rPr>
        <w:t xml:space="preserve">44</w:t>
      </w:r>
      <w:r>
        <w:rPr>
          <w:b/>
          <w:sz w:val="28"/>
        </w:rPr>
        <w:t xml:space="preserve">,3 процента. </w:t>
      </w:r>
      <w:r/>
    </w:p>
    <w:p>
      <w:pPr>
        <w:pStyle w:val="764"/>
        <w:ind w:firstLine="72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</w:rPr>
        <w:t xml:space="preserve">В товарной структуре розничной торговли пищевыми продуктами пред</w:t>
      </w:r>
      <w:r>
        <w:rPr>
          <w:sz w:val="28"/>
        </w:rPr>
        <w:t xml:space="preserve">приятий, не относящихся к субъектам малого предпринимательства, преобладают молочные продукты, продукты из мяса, кондитерские изделия, свежие фрукты, свежие овощи, мясо домашней птицы, рыба и морепродукты, яйцо птицы, а также хлеб и хлебобулочные изделия. </w:t>
      </w:r>
      <w:r>
        <w:rPr>
          <w:sz w:val="28"/>
        </w:rPr>
      </w:r>
    </w:p>
    <w:p>
      <w:pPr>
        <w:pStyle w:val="764"/>
        <w:ind w:firstLine="720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</w:rPr>
      </w:r>
      <w:r>
        <w:rPr>
          <w:sz w:val="28"/>
        </w:rPr>
        <w:t xml:space="preserve">За январь-июль 2026 года населению реализовано </w:t>
      </w:r>
      <w:r>
        <w:rPr>
          <w:b/>
          <w:sz w:val="28"/>
        </w:rPr>
        <w:t xml:space="preserve">непродовольственных товаров</w:t>
      </w:r>
      <w:r>
        <w:rPr>
          <w:sz w:val="28"/>
        </w:rPr>
        <w:t xml:space="preserve"> на сумму</w:t>
      </w:r>
      <w:r>
        <w:rPr>
          <w:b/>
          <w:sz w:val="28"/>
        </w:rPr>
        <w:t xml:space="preserve"> 89 784,2 млн. рублей</w:t>
      </w:r>
      <w:r>
        <w:rPr>
          <w:sz w:val="28"/>
        </w:rPr>
        <w:t xml:space="preserve">, что на 7</w:t>
      </w:r>
      <w:r>
        <w:rPr>
          <w:b/>
          <w:bCs/>
          <w:sz w:val="28"/>
        </w:rPr>
        <w:t xml:space="preserve">,5%</w:t>
      </w:r>
      <w:r>
        <w:rPr>
          <w:sz w:val="28"/>
        </w:rPr>
        <w:t xml:space="preserve"> больше, чем за соответствующий период 2025 года. Удельный вес непродовольственных товаров в обороте розничной торговли составил </w:t>
      </w:r>
      <w:r>
        <w:rPr>
          <w:b/>
          <w:sz w:val="28"/>
        </w:rPr>
        <w:t xml:space="preserve">55,7 процента.</w:t>
      </w:r>
      <w:r>
        <w:rPr>
          <w:sz w:val="28"/>
        </w:rPr>
      </w:r>
      <w:r/>
    </w:p>
    <w:p>
      <w:pPr>
        <w:pStyle w:val="764"/>
        <w:ind w:firstLine="720"/>
        <w:jc w:val="both"/>
        <w:spacing w:before="0" w:beforeAutospacing="0" w:after="0" w:afterAutospacing="0"/>
      </w:pPr>
      <w:r>
        <w:rPr>
          <w:sz w:val="28"/>
        </w:rPr>
        <w:t xml:space="preserve">По состоянию на </w:t>
      </w:r>
      <w:r>
        <w:rPr>
          <w:b w:val="0"/>
          <w:bCs w:val="0"/>
          <w:sz w:val="28"/>
        </w:rPr>
        <w:t xml:space="preserve">1 августа</w:t>
      </w:r>
      <w:r>
        <w:rPr>
          <w:sz w:val="28"/>
          <w:shd w:val="clear" w:color="ffffff" w:themeColor="background1" w:fill="ffffff" w:themeFill="background1"/>
        </w:rPr>
        <w:t xml:space="preserve"> </w:t>
      </w:r>
      <w:r>
        <w:rPr>
          <w:sz w:val="28"/>
        </w:rPr>
        <w:t xml:space="preserve">2026 года объем товарных запасов в организациях розничной торговли составил </w:t>
      </w:r>
      <w:r>
        <w:rPr>
          <w:b/>
          <w:bCs/>
          <w:sz w:val="28"/>
        </w:rPr>
        <w:t xml:space="preserve">12 362,8</w:t>
      </w:r>
      <w:r>
        <w:rPr>
          <w:b/>
          <w:sz w:val="28"/>
        </w:rPr>
        <w:t xml:space="preserve"> млн. рублей. </w:t>
      </w:r>
      <w:r/>
    </w:p>
    <w:p>
      <w:pPr>
        <w:pStyle w:val="764"/>
        <w:ind w:firstLine="720"/>
        <w:jc w:val="both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Оборот оптовой торговли в январе-июле 2026 года составил                            </w:t>
      </w:r>
      <w:r>
        <w:rPr>
          <w:b/>
          <w:bCs/>
          <w:sz w:val="28"/>
        </w:rPr>
        <w:t xml:space="preserve">158 945</w:t>
      </w:r>
      <w:r>
        <w:rPr>
          <w:b/>
          <w:bCs/>
          <w:sz w:val="28"/>
        </w:rPr>
        <w:t xml:space="preserve">,0</w:t>
      </w:r>
      <w:r>
        <w:rPr>
          <w:b/>
          <w:sz w:val="28"/>
        </w:rPr>
        <w:t xml:space="preserve"> млн. рублей</w:t>
      </w:r>
      <w:r>
        <w:rPr>
          <w:sz w:val="28"/>
        </w:rPr>
        <w:t xml:space="preserve"> или</w:t>
      </w:r>
      <w:r>
        <w:rPr>
          <w:b/>
          <w:bCs/>
          <w:sz w:val="28"/>
        </w:rPr>
        <w:t xml:space="preserve"> 116,4</w:t>
      </w:r>
      <w:r>
        <w:rPr>
          <w:b/>
          <w:sz w:val="28"/>
        </w:rPr>
        <w:t xml:space="preserve">% </w:t>
      </w:r>
      <w:r>
        <w:rPr>
          <w:sz w:val="28"/>
        </w:rPr>
        <w:t xml:space="preserve">к соответствующему периоду 2025 года. В том числе оборот оптовой торговли организаций оптовой торговли сложился в сумме</w:t>
      </w:r>
      <w:r>
        <w:rPr>
          <w:b/>
          <w:bCs/>
          <w:sz w:val="28"/>
        </w:rPr>
        <w:t xml:space="preserve"> 113 812,0</w:t>
      </w:r>
      <w:r>
        <w:rPr>
          <w:b/>
          <w:sz w:val="28"/>
        </w:rPr>
        <w:t xml:space="preserve"> млн. рублей</w:t>
      </w:r>
      <w:r>
        <w:rPr>
          <w:sz w:val="28"/>
        </w:rPr>
        <w:t xml:space="preserve"> или </w:t>
      </w:r>
      <w:r>
        <w:rPr>
          <w:b/>
          <w:bCs/>
          <w:sz w:val="28"/>
        </w:rPr>
        <w:t xml:space="preserve">71</w:t>
      </w:r>
      <w:r>
        <w:rPr>
          <w:b/>
          <w:bCs/>
          <w:sz w:val="28"/>
        </w:rPr>
        <w:t xml:space="preserve">,6</w:t>
      </w:r>
      <w:r>
        <w:rPr>
          <w:b/>
          <w:sz w:val="28"/>
        </w:rPr>
        <w:t xml:space="preserve">%</w:t>
      </w:r>
      <w:r>
        <w:rPr>
          <w:sz w:val="28"/>
        </w:rPr>
        <w:t xml:space="preserve"> к январю-июлю 2025 года и составил</w:t>
      </w:r>
      <w:r>
        <w:rPr>
          <w:b/>
          <w:bCs/>
          <w:sz w:val="28"/>
        </w:rPr>
        <w:t xml:space="preserve"> 99,9%</w:t>
      </w:r>
      <w:r>
        <w:rPr>
          <w:sz w:val="28"/>
        </w:rPr>
        <w:t xml:space="preserve"> общего оборота оптовой торговли.</w:t>
      </w:r>
      <w:r>
        <w:rPr>
          <w:sz w:val="28"/>
        </w:rPr>
      </w:r>
      <w:r>
        <w:rPr>
          <w:sz w:val="28"/>
        </w:rPr>
      </w:r>
    </w:p>
    <w:p>
      <w:pPr>
        <w:pStyle w:val="764"/>
        <w:ind w:firstLine="720"/>
        <w:jc w:val="both"/>
        <w:spacing w:before="0" w:beforeAutospacing="0" w:after="0" w:afterAutospacing="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64"/>
        <w:ind w:firstLine="720"/>
        <w:jc w:val="both"/>
        <w:spacing w:before="0" w:beforeAutospacing="0" w:after="0" w:afterAutospacing="0"/>
      </w:pPr>
      <w:r/>
      <w:r/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 xml:space="preserve">Структура оборота оптовой торговли предприятий всех видов экономической деятельности </w:t>
      </w:r>
      <w:r>
        <w:rPr>
          <w:sz w:val="28"/>
        </w:rPr>
        <w:t xml:space="preserve">(в процентах к итогу)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январь-июль 2026 года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764"/>
        <w:contextualSpacing/>
        <w:ind w:firstLine="720"/>
        <w:jc w:val="center"/>
        <w:spacing w:before="0" w:beforeAutospacing="0" w:after="0" w:afterAutospacing="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764"/>
        <w:contextualSpacing/>
        <w:ind w:firstLine="720"/>
        <w:jc w:val="left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b/>
          <w:sz w:val="28"/>
          <w:highlight w:val="none"/>
        </w:rPr>
      </w:r>
      <w:r>
        <w:drawing>
          <wp:inline distT="0" distB="0" distL="0" distR="0">
            <wp:extent cx="5296240" cy="2930451"/>
            <wp:effectExtent l="6350" t="6350" r="6350" b="6350"/>
            <wp:docPr id="3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764"/>
        <w:jc w:val="center"/>
        <w:spacing w:before="0" w:after="280" w:line="240" w:lineRule="atLeast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64"/>
        <w:spacing w:before="280" w:after="280" w:line="240" w:lineRule="atLeast"/>
        <w:rPr>
          <w:sz w:val="28"/>
        </w:rPr>
      </w:pPr>
      <w:r>
        <w:rPr>
          <w:sz w:val="28"/>
        </w:rPr>
        <w:t xml:space="preserve">    </w:t>
      </w:r>
      <w:bookmarkStart w:id="0" w:name="_GoBack"/>
      <w:r/>
      <w:bookmarkEnd w:id="0"/>
      <w:r>
        <w:rPr>
          <w:sz w:val="28"/>
        </w:rPr>
      </w:r>
      <w:r>
        <w:rPr>
          <w:sz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sz w:val="28"/>
        </w:rPr>
      </w:r>
    </w:p>
    <w:p>
      <w:pPr>
        <w:pStyle w:val="764"/>
        <w:ind w:firstLine="720"/>
        <w:jc w:val="center"/>
        <w:spacing w:before="280" w:after="280"/>
        <w:shd w:val="clear" w:color="ffffff" w:themeColor="background1" w:fill="ffffff" w:themeFill="background1"/>
        <w:rPr>
          <w:b/>
          <w:bCs/>
          <w:sz w:val="28"/>
          <w:szCs w:val="28"/>
          <w:highlight w:val="none"/>
        </w:rPr>
      </w:pPr>
      <w:r>
        <w:rPr>
          <w:b/>
          <w:sz w:val="28"/>
          <w:highlight w:val="none"/>
        </w:rPr>
        <w:t xml:space="preserve">январь-июль 2025 года</w:t>
      </w:r>
      <w:r>
        <w:rPr>
          <w:b/>
          <w:sz w:val="28"/>
          <w:highlight w:val="none"/>
        </w:rPr>
      </w:r>
    </w:p>
    <w:p>
      <w:pPr>
        <w:pStyle w:val="764"/>
        <w:ind w:firstLine="720"/>
        <w:jc w:val="left"/>
        <w:spacing w:before="280" w:after="280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none"/>
        </w:rPr>
      </w:r>
      <w:r>
        <w:drawing>
          <wp:inline distT="0" distB="0" distL="0" distR="0">
            <wp:extent cx="4960620" cy="3371372"/>
            <wp:effectExtent l="6350" t="6350" r="6350" b="6350"/>
            <wp:docPr id="4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yellow"/>
        </w:rPr>
      </w:r>
      <w:r>
        <w:rPr>
          <w:sz w:val="28"/>
          <w:highlight w:val="none"/>
        </w:rPr>
      </w:r>
      <w:r>
        <w:rPr>
          <w:sz w:val="28"/>
          <w:highlight w:val="none"/>
        </w:rPr>
      </w:r>
      <w:r>
        <w:rPr>
          <w:b/>
          <w:bCs/>
          <w:sz w:val="28"/>
          <w:szCs w:val="28"/>
          <w:highlight w:val="yellow"/>
        </w:rPr>
      </w:r>
    </w:p>
    <w:p>
      <w:pPr>
        <w:pStyle w:val="764"/>
        <w:ind w:firstLine="709"/>
        <w:jc w:val="both"/>
        <w:spacing w:before="280" w:after="280"/>
        <w:rPr>
          <w:sz w:val="28"/>
          <w:szCs w:val="28"/>
          <w:highlight w:val="none"/>
        </w:rPr>
      </w:pPr>
      <w:r>
        <w:rPr>
          <w:sz w:val="28"/>
        </w:rPr>
        <w:t xml:space="preserve">По рейтингу среди республик и областей ПФО по индексу физического объема оборота оптовой торговли в январе-июле 2026 г. Республика Мордовия занимает 1 </w:t>
      </w:r>
      <w:r>
        <w:rPr>
          <w:b/>
          <w:sz w:val="28"/>
        </w:rPr>
        <w:t xml:space="preserve">место</w:t>
      </w:r>
      <w:r>
        <w:rPr>
          <w:sz w:val="28"/>
        </w:rPr>
        <w:t xml:space="preserve">, темп роста составил </w:t>
      </w:r>
      <w:r>
        <w:rPr>
          <w:b/>
          <w:bCs/>
          <w:sz w:val="28"/>
        </w:rPr>
        <w:t xml:space="preserve">116,4</w:t>
      </w:r>
      <w:r>
        <w:rPr>
          <w:b/>
          <w:sz w:val="28"/>
        </w:rPr>
        <w:t xml:space="preserve"> процента.</w:t>
      </w:r>
      <w:r>
        <w:rPr>
          <w:sz w:val="28"/>
        </w:rPr>
        <w:t xml:space="preserve"> Минимальное значение в Чувашской Республике </w:t>
      </w:r>
      <w:r>
        <w:rPr>
          <w:b/>
          <w:sz w:val="28"/>
        </w:rPr>
        <w:t xml:space="preserve">(75,8 процента)</w:t>
      </w:r>
      <w:r>
        <w:rPr>
          <w:sz w:val="28"/>
        </w:rPr>
        <w:t xml:space="preserve">.</w:t>
      </w:r>
      <w:r>
        <w:rPr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09"/>
        <w:jc w:val="both"/>
        <w:spacing w:before="280" w:after="280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764"/>
        <w:ind w:firstLine="0"/>
        <w:jc w:val="center"/>
        <w:spacing w:before="280" w:after="280"/>
        <w:rPr>
          <w:b/>
          <w:bCs/>
          <w:sz w:val="28"/>
          <w:szCs w:val="28"/>
        </w:rPr>
      </w:pPr>
      <w:r>
        <w:rPr>
          <w:b/>
          <w:bCs/>
          <w:sz w:val="12"/>
          <w:szCs w:val="12"/>
        </w:rPr>
      </w:r>
      <w:r>
        <w:rPr>
          <w:b/>
          <w:bCs/>
          <w:sz w:val="28"/>
          <w:szCs w:val="28"/>
        </w:rPr>
        <w:t xml:space="preserve">Оборот оптовой торговли в январе-июле 2026 года</w:t>
        <w:br/>
      </w:r>
      <w:r>
        <w:rPr>
          <w:b/>
          <w:bCs/>
          <w:sz w:val="28"/>
          <w:szCs w:val="28"/>
        </w:rPr>
      </w:r>
      <w:r>
        <w:rPr>
          <w:b/>
          <w:sz w:val="28"/>
          <w:highlight w:val="yellow"/>
          <w:shd w:val="clear" w:color="ffffff" w:themeColor="background1" w:fill="ffffff" w:themeFill="background1"/>
        </w:rPr>
      </w:r>
      <w:r>
        <w:rPr>
          <w:b/>
          <w:sz w:val="28"/>
          <w:highlight w:val="yellow"/>
        </w:rPr>
      </w:r>
      <w:r>
        <w:rPr>
          <w:b/>
          <w:bCs/>
          <w:sz w:val="28"/>
          <w:szCs w:val="28"/>
        </w:rPr>
      </w:r>
      <w:r/>
      <w:bookmarkStart w:id="1" w:name="_Hlk504048507"/>
      <w:r>
        <w:t xml:space="preserve">(по организациям всех видов деятельности)</w:t>
      </w:r>
      <w:bookmarkEnd w:id="1"/>
      <w:r>
        <w:rPr>
          <w:highlight w:val="none"/>
        </w:rPr>
      </w:r>
      <w:r>
        <w:rPr>
          <w:highlight w:val="none"/>
        </w:rPr>
      </w:r>
      <w:r>
        <w:rPr>
          <w:b/>
          <w:bCs/>
          <w:sz w:val="28"/>
          <w:szCs w:val="28"/>
        </w:rPr>
      </w:r>
    </w:p>
    <w:p>
      <w:pPr>
        <w:pStyle w:val="764"/>
        <w:ind w:firstLine="720"/>
        <w:jc w:val="center"/>
        <w:spacing w:before="0" w:beforeAutospacing="0" w:after="0" w:afterAutospacing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764"/>
        <w:ind w:firstLine="720"/>
        <w:jc w:val="left"/>
        <w:spacing w:before="0" w:beforeAutospacing="0" w:after="0" w:afterAutospacing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drawing>
          <wp:inline distT="0" distB="0" distL="0" distR="0">
            <wp:extent cx="5252143" cy="3278682"/>
            <wp:effectExtent l="4762" t="4762" r="4762" b="4762"/>
            <wp:docPr id="5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highlight w:val="none"/>
        </w:rPr>
      </w:r>
      <w:r>
        <w:rPr>
          <w:highlight w:val="none"/>
        </w:rPr>
      </w:r>
    </w:p>
    <w:p>
      <w:pPr>
        <w:pStyle w:val="764"/>
        <w:spacing w:before="0" w:beforeAutospacing="0" w:after="0" w:afterAutospacing="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64"/>
        <w:contextualSpacing/>
        <w:ind w:firstLine="720"/>
        <w:jc w:val="both"/>
        <w:spacing w:before="0" w:beforeAutospacing="0" w:after="0" w:afterAutospacing="0"/>
        <w:rPr>
          <w:b/>
          <w:bCs/>
          <w:sz w:val="28"/>
          <w:szCs w:val="28"/>
          <w:highlight w:val="none"/>
        </w:rPr>
      </w:pPr>
      <w:r>
        <w:rPr>
          <w:sz w:val="28"/>
        </w:rPr>
        <w:t xml:space="preserve">В январе-июле 2026 года оборот общественного питания составил </w:t>
      </w:r>
      <w:r>
        <w:rPr>
          <w:b/>
          <w:sz w:val="28"/>
        </w:rPr>
        <w:t xml:space="preserve">                 8 352,9 млн. рублей</w:t>
      </w:r>
      <w:r>
        <w:rPr>
          <w:sz w:val="28"/>
        </w:rPr>
        <w:t xml:space="preserve">, что на</w:t>
      </w:r>
      <w:r>
        <w:rPr>
          <w:b/>
          <w:bCs/>
          <w:sz w:val="28"/>
        </w:rPr>
        <w:t xml:space="preserve"> 0,4</w:t>
      </w:r>
      <w:r>
        <w:rPr>
          <w:b/>
          <w:sz w:val="28"/>
        </w:rPr>
        <w:t xml:space="preserve">% </w:t>
      </w:r>
      <w:r>
        <w:rPr>
          <w:b w:val="0"/>
          <w:bCs w:val="0"/>
          <w:sz w:val="28"/>
        </w:rPr>
        <w:t xml:space="preserve">ниже </w:t>
      </w:r>
      <w:r>
        <w:rPr>
          <w:sz w:val="28"/>
        </w:rPr>
        <w:t xml:space="preserve">января-июля 2025 года.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764"/>
        <w:contextualSpacing/>
        <w:ind w:firstLine="720"/>
        <w:jc w:val="both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64"/>
        <w:jc w:val="center"/>
        <w:spacing w:before="280" w:after="280"/>
        <w:rPr>
          <w:b/>
          <w:bCs/>
          <w:sz w:val="28"/>
          <w:szCs w:val="28"/>
          <w:highlight w:val="none"/>
        </w:rPr>
      </w:pPr>
      <w:r>
        <w:rPr>
          <w:b/>
          <w:sz w:val="28"/>
        </w:rPr>
        <w:t xml:space="preserve">Оборот общественного питания в январе-июле 2026 года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764"/>
        <w:jc w:val="left"/>
        <w:spacing w:before="280" w:after="280"/>
        <w:rPr>
          <w:highlight w:val="none"/>
        </w:rPr>
      </w:pPr>
      <w:r>
        <w:rPr>
          <w:b/>
          <w:sz w:val="28"/>
          <w:highlight w:val="none"/>
        </w:rPr>
      </w:r>
      <w:r>
        <w:drawing>
          <wp:inline distT="0" distB="0" distL="0" distR="0">
            <wp:extent cx="5764552" cy="2864384"/>
            <wp:effectExtent l="4762" t="4762" r="4762" b="4762"/>
            <wp:docPr id="6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764"/>
        <w:ind w:firstLine="720"/>
        <w:jc w:val="both"/>
        <w:spacing w:before="280" w:after="280"/>
        <w:rPr>
          <w:sz w:val="28"/>
          <w:szCs w:val="28"/>
          <w:highlight w:val="none"/>
        </w:rPr>
      </w:pPr>
      <w:r>
        <w:rPr>
          <w:sz w:val="28"/>
        </w:rPr>
        <w:t xml:space="preserve">По индексу физического объема оборота общественного питания за январь-июль 2026 года к соответствующему периоду 2025 года среди регионов ПФО Республика Мордовия занимает</w:t>
      </w:r>
      <w:r>
        <w:rPr>
          <w:b/>
          <w:sz w:val="28"/>
        </w:rPr>
        <w:t xml:space="preserve"> 12 место</w:t>
      </w:r>
      <w:r>
        <w:rPr>
          <w:sz w:val="28"/>
        </w:rPr>
        <w:t xml:space="preserve"> (темп роста </w:t>
      </w:r>
      <w:r>
        <w:rPr>
          <w:b/>
          <w:bCs/>
          <w:sz w:val="28"/>
        </w:rPr>
        <w:t xml:space="preserve">99,6</w:t>
      </w:r>
      <w:r>
        <w:rPr>
          <w:sz w:val="28"/>
        </w:rPr>
        <w:t xml:space="preserve"> </w:t>
      </w:r>
      <w:r>
        <w:rPr>
          <w:b/>
          <w:sz w:val="28"/>
        </w:rPr>
        <w:t xml:space="preserve">процента</w:t>
      </w:r>
      <w:r>
        <w:rPr>
          <w:sz w:val="28"/>
        </w:rPr>
        <w:t xml:space="preserve">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64"/>
        <w:ind w:firstLine="720"/>
        <w:jc w:val="both"/>
        <w:spacing w:before="280" w:after="280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highlight w:val="none"/>
        </w:rPr>
      </w:r>
    </w:p>
    <w:p>
      <w:pPr>
        <w:pStyle w:val="764"/>
        <w:ind w:firstLine="720"/>
        <w:jc w:val="center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 xml:space="preserve">Структура оборота общественного питания по хозяйствующим субъектам в январе-июле 2026 года 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64"/>
        <w:ind w:firstLine="720"/>
        <w:spacing w:before="0" w:beforeAutospacing="0" w:after="0" w:afterAutospacing="0"/>
        <w:rPr>
          <w:sz w:val="28"/>
        </w:rPr>
      </w:pPr>
      <w:r>
        <w:rPr>
          <w:sz w:val="28"/>
        </w:rPr>
        <w:t xml:space="preserve">(в процентах к итогу, в фактически действовавших ценах)</w:t>
      </w:r>
      <w:r>
        <w:rPr>
          <w:sz w:val="28"/>
        </w:rPr>
      </w:r>
      <w:r>
        <w:rPr>
          <w:sz w:val="28"/>
        </w:rPr>
      </w:r>
    </w:p>
    <w:p>
      <w:pPr>
        <w:jc w:val="both"/>
        <w:tabs>
          <w:tab w:val="left" w:pos="360" w:leader="none"/>
          <w:tab w:val="clear" w:pos="708" w:leader="none"/>
        </w:tabs>
      </w:pPr>
      <w:r/>
      <w:r/>
    </w:p>
    <w:p>
      <w:pPr>
        <w:pStyle w:val="656"/>
        <w:jc w:val="both"/>
        <w:tabs>
          <w:tab w:val="left" w:pos="360" w:leader="none"/>
          <w:tab w:val="clear" w:pos="708" w:leader="none"/>
        </w:tabs>
      </w:pPr>
      <w:r>
        <w:drawing>
          <wp:inline distT="0" distB="0" distL="0" distR="0">
            <wp:extent cx="5839271" cy="3012852"/>
            <wp:effectExtent l="4762" t="4762" r="4762" b="4762"/>
            <wp:docPr id="7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b/>
          <w:sz w:val="28"/>
        </w:rPr>
      </w:r>
      <w:r/>
    </w:p>
    <w:p>
      <w:pPr>
        <w:pStyle w:val="656"/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водный индекс потребительских цен на все товары и </w:t>
      </w:r>
      <w:r>
        <w:rPr>
          <w:sz w:val="28"/>
          <w:szCs w:val="28"/>
        </w:rPr>
        <w:t xml:space="preserve">услуги в июле 2026 года (к предыдущему месяцу) составил </w:t>
      </w:r>
      <w:r>
        <w:rPr>
          <w:sz w:val="28"/>
          <w:szCs w:val="28"/>
        </w:rPr>
        <w:t xml:space="preserve">100,9%, в том числе по продовольственным товарам – 100,5%, </w:t>
      </w:r>
      <w:r>
        <w:rPr>
          <w:sz w:val="28"/>
          <w:szCs w:val="28"/>
        </w:rPr>
        <w:t xml:space="preserve">непродовольственным – 102,4% и услугам – 100,2%.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Индекс на все товары в июле 2026 года (к предыдущему </w:t>
      </w:r>
      <w:r>
        <w:rPr>
          <w:sz w:val="28"/>
          <w:szCs w:val="28"/>
        </w:rPr>
        <w:t xml:space="preserve">месяцу) составил 101,2%. Индекс на все товары и услуги без </w:t>
      </w:r>
      <w:r>
        <w:rPr>
          <w:sz w:val="28"/>
          <w:szCs w:val="28"/>
        </w:rPr>
        <w:t xml:space="preserve">овощей, картофеля и фруктов в июле 2026 года (к предыдущему</w:t>
      </w:r>
      <w:r>
        <w:rPr>
          <w:sz w:val="28"/>
          <w:szCs w:val="28"/>
        </w:rPr>
        <w:t xml:space="preserve">) составил 101,0%.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 июле цены на плодоовощную продукцию изменились </w:t>
      </w:r>
      <w:r>
        <w:rPr>
          <w:sz w:val="28"/>
          <w:szCs w:val="28"/>
        </w:rPr>
        <w:t xml:space="preserve">следующим образом: перец сладкий свежий и апельсины стали </w:t>
      </w:r>
      <w:r>
        <w:rPr>
          <w:sz w:val="28"/>
          <w:szCs w:val="28"/>
        </w:rPr>
        <w:t xml:space="preserve">дороже на 7,3%, свекла столовая и лук репчатый – на 5,5%, </w:t>
      </w:r>
      <w:r>
        <w:rPr>
          <w:sz w:val="28"/>
          <w:szCs w:val="28"/>
        </w:rPr>
        <w:t xml:space="preserve">чеснок – на 5,2%, картофель – на 4,8%, морковь – на 4,4%, яблоки </w:t>
      </w:r>
      <w:r>
        <w:rPr>
          <w:sz w:val="28"/>
          <w:szCs w:val="28"/>
        </w:rPr>
        <w:t xml:space="preserve">– на 4,3%, сухофрукты и капуста бе</w:t>
      </w:r>
      <w:r>
        <w:rPr>
          <w:sz w:val="28"/>
          <w:szCs w:val="28"/>
        </w:rPr>
        <w:t xml:space="preserve">локочанная свежая – на 1,7%. </w:t>
      </w:r>
      <w:r>
        <w:rPr>
          <w:sz w:val="28"/>
          <w:szCs w:val="28"/>
        </w:rPr>
        <w:t xml:space="preserve">В свою очередь на 22,5% стали дешевле помидоры свежие, на </w:t>
      </w:r>
      <w:r>
        <w:rPr>
          <w:sz w:val="28"/>
          <w:szCs w:val="28"/>
        </w:rPr>
        <w:t xml:space="preserve">12,9% – лимоны, на 11,4% – огурцы свежие, на 2,0% – бананы, 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1,5% – зелень свежая, на 1,1% – овощи замороженные.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 июле среди прочих наблюдаемых продовольственных </w:t>
      </w:r>
      <w:r>
        <w:rPr>
          <w:sz w:val="28"/>
          <w:szCs w:val="28"/>
        </w:rPr>
        <w:t xml:space="preserve">товаров наибольшее повышение цен отмечено на сахар-песок на </w:t>
      </w:r>
      <w:r>
        <w:rPr>
          <w:sz w:val="28"/>
          <w:szCs w:val="28"/>
        </w:rPr>
        <w:t xml:space="preserve">9,0%, куры охлажденные и мороженые – на 8,5%, крупу </w:t>
      </w:r>
      <w:r>
        <w:rPr>
          <w:sz w:val="28"/>
          <w:szCs w:val="28"/>
        </w:rPr>
        <w:t xml:space="preserve">гречневую-ядрицу – </w:t>
      </w:r>
      <w:r>
        <w:rPr>
          <w:sz w:val="28"/>
          <w:szCs w:val="28"/>
        </w:rPr>
        <w:t xml:space="preserve">на 5,4%, печень птицы – на 2,5%, муку </w:t>
      </w:r>
      <w:r>
        <w:rPr>
          <w:sz w:val="28"/>
          <w:szCs w:val="28"/>
        </w:rPr>
        <w:t xml:space="preserve">пшеничную – на 2,2%, свинину (кроме бескостн</w:t>
      </w:r>
      <w:r>
        <w:rPr>
          <w:sz w:val="28"/>
          <w:szCs w:val="28"/>
        </w:rPr>
        <w:t xml:space="preserve">ого мяса) и крупу </w:t>
      </w:r>
      <w:r>
        <w:rPr>
          <w:sz w:val="28"/>
          <w:szCs w:val="28"/>
        </w:rPr>
        <w:t xml:space="preserve">овсяную и перловую – на 1,8%, мясо индейки, булочные изделия </w:t>
      </w:r>
      <w:r>
        <w:rPr>
          <w:sz w:val="28"/>
          <w:szCs w:val="28"/>
        </w:rPr>
        <w:t xml:space="preserve">сдобные из муки высшего сорта штучные и овощи натуральные </w:t>
      </w:r>
      <w:r>
        <w:rPr>
          <w:sz w:val="28"/>
          <w:szCs w:val="28"/>
        </w:rPr>
        <w:t xml:space="preserve">консервированные, маринованные – на 1,6%, мёд пчелиный </w:t>
      </w:r>
      <w:r>
        <w:rPr>
          <w:sz w:val="28"/>
          <w:szCs w:val="28"/>
        </w:rPr>
        <w:t xml:space="preserve">натуральный, говядину (кроме бескостного мяса) и яйца куриные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на 1,5%, пшено, варенье, джем, повидло, хлеб и булочные </w:t>
      </w:r>
      <w:r>
        <w:rPr>
          <w:sz w:val="28"/>
          <w:szCs w:val="28"/>
        </w:rPr>
        <w:t xml:space="preserve">изделия из пшеничной муки различных сортов и консервы </w:t>
      </w:r>
      <w:r>
        <w:rPr>
          <w:sz w:val="28"/>
          <w:szCs w:val="28"/>
        </w:rPr>
        <w:t xml:space="preserve">томатные – на 1,4%, консервы мясные для детского питания и </w:t>
      </w:r>
      <w:r>
        <w:rPr>
          <w:sz w:val="28"/>
          <w:szCs w:val="28"/>
        </w:rPr>
        <w:t xml:space="preserve">творог – на 1,3%, печень говяжью, свиную – на 1,2%, йогурт, </w:t>
      </w:r>
      <w:r>
        <w:rPr>
          <w:sz w:val="28"/>
          <w:szCs w:val="28"/>
        </w:rPr>
        <w:t xml:space="preserve">окорочка куриные и сухие супы в пакетах – на 1,1%.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то же время подешевели: креветки мороженые, </w:t>
      </w:r>
      <w:r>
        <w:rPr>
          <w:sz w:val="28"/>
          <w:szCs w:val="28"/>
        </w:rPr>
        <w:t xml:space="preserve">неразделанные – на 2,9%, жевательная резинка – на 2,2 %, молоко </w:t>
      </w:r>
      <w:r>
        <w:rPr>
          <w:sz w:val="28"/>
          <w:szCs w:val="28"/>
        </w:rPr>
        <w:t xml:space="preserve">питьевое цельное ультрапастеризованное 2,5-3,2% жирности – на </w:t>
      </w:r>
      <w:r>
        <w:rPr>
          <w:sz w:val="28"/>
          <w:szCs w:val="28"/>
        </w:rPr>
        <w:t xml:space="preserve">2,1%, чай зеленый – на 2,0%, карамель – на 1,9%, консервы </w:t>
      </w:r>
      <w:r>
        <w:rPr>
          <w:sz w:val="28"/>
          <w:szCs w:val="28"/>
        </w:rPr>
        <w:t xml:space="preserve">овощные для детского питания – на 1,8%, молоко питьевое </w:t>
      </w:r>
      <w:r>
        <w:rPr>
          <w:sz w:val="28"/>
          <w:szCs w:val="28"/>
        </w:rPr>
        <w:t xml:space="preserve">цельное пастеризованное более 3,2% жирности и консервы </w:t>
      </w:r>
      <w:r>
        <w:rPr>
          <w:sz w:val="28"/>
          <w:szCs w:val="28"/>
        </w:rPr>
        <w:t xml:space="preserve">фруктово-ягодные для детского питания – на 1,7%, конфеты </w:t>
      </w:r>
      <w:r>
        <w:rPr>
          <w:sz w:val="28"/>
          <w:szCs w:val="28"/>
        </w:rPr>
        <w:t xml:space="preserve">шоколадные натуральные и с добавками, консервы рыбные </w:t>
      </w:r>
      <w:r>
        <w:rPr>
          <w:sz w:val="28"/>
          <w:szCs w:val="28"/>
        </w:rPr>
        <w:t xml:space="preserve">натуральные и с добавлением масла и кексы, рулеты – на 1,4%, </w:t>
      </w:r>
      <w:r>
        <w:rPr>
          <w:sz w:val="28"/>
          <w:szCs w:val="28"/>
        </w:rPr>
        <w:t xml:space="preserve">мороженое сливочное – на 1,3%, кофе натуральный растворимый </w:t>
      </w:r>
      <w:r>
        <w:rPr>
          <w:sz w:val="28"/>
          <w:szCs w:val="28"/>
        </w:rPr>
        <w:t xml:space="preserve">– на 1,2%.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 июле цены на непродовольственные товары в среднем </w:t>
      </w:r>
      <w:r>
        <w:rPr>
          <w:sz w:val="28"/>
          <w:szCs w:val="28"/>
        </w:rPr>
        <w:t xml:space="preserve">за месяц выросли на 2,4%. Здесь наиболее всего подорожали: </w:t>
      </w:r>
      <w:r>
        <w:rPr>
          <w:sz w:val="28"/>
          <w:szCs w:val="28"/>
        </w:rPr>
        <w:t xml:space="preserve">матрас детский – на 2,0%, флеш-накопитель USB, ковер, </w:t>
      </w:r>
      <w:r>
        <w:rPr>
          <w:sz w:val="28"/>
          <w:szCs w:val="28"/>
        </w:rPr>
        <w:t xml:space="preserve">ковровое покрытие (палас) синтетический и шампунь – на 1,8%, </w:t>
      </w:r>
      <w:r>
        <w:rPr>
          <w:sz w:val="28"/>
          <w:szCs w:val="28"/>
        </w:rPr>
        <w:t xml:space="preserve">спички – на 1,6%, кровать для новорожденных, набор корпусной </w:t>
      </w:r>
      <w:r>
        <w:rPr>
          <w:sz w:val="28"/>
          <w:szCs w:val="28"/>
        </w:rPr>
        <w:t xml:space="preserve">мебели и земля для растений – на 1,4%, плита бытовая, трусы </w:t>
      </w:r>
      <w:r>
        <w:rPr>
          <w:sz w:val="28"/>
          <w:szCs w:val="28"/>
        </w:rPr>
        <w:t xml:space="preserve">женские, мыло хозяйственное и батарейки электрические типа </w:t>
      </w:r>
      <w:r>
        <w:rPr>
          <w:sz w:val="28"/>
          <w:szCs w:val="28"/>
        </w:rPr>
        <w:t xml:space="preserve">АА – на 1,2%, пальто женское демисезонное, кружка, чашка </w:t>
      </w:r>
      <w:r>
        <w:rPr>
          <w:sz w:val="28"/>
          <w:szCs w:val="28"/>
        </w:rPr>
        <w:t xml:space="preserve">чайная с блюдцем, костюм-двойка мужской, ремень мужской, </w:t>
      </w:r>
      <w:r>
        <w:rPr>
          <w:sz w:val="28"/>
          <w:szCs w:val="28"/>
        </w:rPr>
        <w:t xml:space="preserve">рубероид – на 1,1%, перчатки из натуральной кожи – на 1,0%.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Вместе с тем, снизились цены на тушь для ресниц - на </w:t>
      </w:r>
      <w:r>
        <w:rPr>
          <w:sz w:val="28"/>
          <w:szCs w:val="28"/>
        </w:rPr>
        <w:t xml:space="preserve">4,4%, щетку зубную и туалетную воду – на 2,9%, пену для бритья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свежесрезанные цветы - на 2,7%, брюки для детей школьного </w:t>
      </w:r>
      <w:r>
        <w:rPr>
          <w:sz w:val="28"/>
          <w:szCs w:val="28"/>
        </w:rPr>
        <w:t xml:space="preserve">возраста из джинсовой ткани – на 2,4%, прокладки женские </w:t>
      </w:r>
      <w:r>
        <w:rPr>
          <w:sz w:val="28"/>
          <w:szCs w:val="28"/>
        </w:rPr>
        <w:t xml:space="preserve">гигиенические и робот-пылесос – на 2,2%, помаду – на 1,9%, </w:t>
      </w:r>
      <w:r>
        <w:rPr>
          <w:sz w:val="28"/>
          <w:szCs w:val="28"/>
        </w:rPr>
        <w:t xml:space="preserve">жидкие средства для стирки, коньки, порошок стиральный, </w:t>
      </w:r>
      <w:r>
        <w:rPr>
          <w:sz w:val="28"/>
          <w:szCs w:val="28"/>
        </w:rPr>
        <w:t xml:space="preserve">электроутюг и печь микроволновую – на 1,8%, платье (платье-</w:t>
      </w:r>
      <w:r>
        <w:rPr>
          <w:sz w:val="28"/>
          <w:szCs w:val="28"/>
        </w:rPr>
        <w:t xml:space="preserve">костюм) женское из полушерстяных или смесовых тканей, </w:t>
      </w:r>
      <w:r>
        <w:rPr>
          <w:sz w:val="28"/>
          <w:szCs w:val="28"/>
        </w:rPr>
        <w:t xml:space="preserve">табурет </w:t>
      </w:r>
      <w:r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кухни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легковой </w:t>
      </w:r>
      <w:r>
        <w:rPr>
          <w:sz w:val="28"/>
          <w:szCs w:val="28"/>
        </w:rPr>
        <w:t xml:space="preserve">автомобиль </w:t>
      </w:r>
      <w:r>
        <w:rPr>
          <w:sz w:val="28"/>
          <w:szCs w:val="28"/>
        </w:rPr>
        <w:t xml:space="preserve">импортный </w:t>
      </w:r>
      <w:r>
        <w:rPr>
          <w:sz w:val="28"/>
          <w:szCs w:val="28"/>
        </w:rPr>
        <w:t xml:space="preserve">подержанный – на 1,5%, холодильник двухкамерный – на 1,4%.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firstLine="709"/>
        <w:jc w:val="both"/>
        <w:spacing w:before="57" w:after="57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На бензин автомобильные цены повысились на 10,1%, на </w:t>
      </w:r>
      <w:r>
        <w:rPr>
          <w:sz w:val="28"/>
          <w:szCs w:val="28"/>
        </w:rPr>
        <w:t xml:space="preserve">дизельное топливо – на 5,3%, газовое моторное топливо – на </w:t>
      </w:r>
      <w:r>
        <w:rPr>
          <w:sz w:val="28"/>
          <w:szCs w:val="28"/>
        </w:rPr>
        <w:t xml:space="preserve">22,9%.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6"/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Индекс цен (тарифов) на услуги </w:t>
      </w:r>
      <w:bookmarkStart w:id="2" w:name="_Hlk508100149"/>
      <w:r>
        <w:rPr>
          <w:sz w:val="28"/>
        </w:rPr>
        <w:t xml:space="preserve">в</w:t>
      </w:r>
      <w:bookmarkEnd w:id="2"/>
      <w:r>
        <w:rPr>
          <w:sz w:val="28"/>
        </w:rPr>
        <w:t xml:space="preserve"> июле 2026 г. (к предыдущему месяцу) по Республике Мордовия составил </w:t>
      </w:r>
      <w:r>
        <w:rPr>
          <w:b/>
          <w:bCs/>
          <w:sz w:val="28"/>
        </w:rPr>
        <w:t xml:space="preserve">100,2</w:t>
      </w:r>
      <w:r>
        <w:rPr>
          <w:sz w:val="28"/>
        </w:rPr>
        <w:t xml:space="preserve"> процента.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656"/>
        <w:ind w:firstLine="709"/>
        <w:jc w:val="both"/>
      </w:pPr>
      <w:r>
        <w:rPr>
          <w:b/>
          <w:sz w:val="28"/>
        </w:rPr>
        <w:t xml:space="preserve">Индекс цен на бытовые</w:t>
      </w:r>
      <w:r>
        <w:rPr>
          <w:sz w:val="28"/>
        </w:rPr>
        <w:t xml:space="preserve"> </w:t>
      </w:r>
      <w:r>
        <w:rPr>
          <w:b/>
          <w:sz w:val="28"/>
        </w:rPr>
        <w:t xml:space="preserve">услуги</w:t>
      </w:r>
      <w:r>
        <w:rPr>
          <w:sz w:val="28"/>
        </w:rPr>
        <w:t xml:space="preserve"> в июле 2026 года (к предыдущему месяцу) в целом по Республике Мордовия составил </w:t>
      </w:r>
      <w:r>
        <w:rPr>
          <w:b/>
          <w:bCs/>
          <w:sz w:val="28"/>
        </w:rPr>
        <w:t xml:space="preserve">100,5 </w:t>
      </w:r>
      <w:r>
        <w:rPr>
          <w:b/>
          <w:sz w:val="28"/>
        </w:rPr>
        <w:t xml:space="preserve">процента.</w:t>
      </w:r>
      <w:r/>
    </w:p>
    <w:p>
      <w:pPr>
        <w:pStyle w:val="656"/>
        <w:ind w:firstLine="709"/>
        <w:jc w:val="both"/>
      </w:pPr>
      <w:r>
        <w:rPr>
          <w:b/>
          <w:sz w:val="28"/>
        </w:rPr>
        <w:t xml:space="preserve">Стоимость условного (минимального) набора продуктов питания, </w:t>
      </w:r>
      <w:r>
        <w:rPr>
          <w:sz w:val="28"/>
        </w:rPr>
        <w:t xml:space="preserve">рассчитанного на месяц в среднем по республике в конце июля 2026 г. составила </w:t>
      </w:r>
      <w:r>
        <w:rPr>
          <w:b/>
          <w:bCs/>
          <w:sz w:val="28"/>
        </w:rPr>
        <w:t xml:space="preserve">6 591,11</w:t>
      </w:r>
      <w:r>
        <w:rPr>
          <w:b/>
          <w:sz w:val="28"/>
        </w:rPr>
        <w:t xml:space="preserve"> рубля </w:t>
      </w:r>
      <w:r>
        <w:rPr>
          <w:sz w:val="28"/>
        </w:rPr>
        <w:t xml:space="preserve">и по сравнению с предыдущим месяцем повысилась на </w:t>
      </w:r>
      <w:r>
        <w:rPr>
          <w:b/>
          <w:bCs/>
          <w:sz w:val="28"/>
        </w:rPr>
        <w:t xml:space="preserve">2,0 </w:t>
      </w:r>
      <w:r>
        <w:rPr>
          <w:b/>
          <w:sz w:val="28"/>
        </w:rPr>
        <w:t xml:space="preserve">процента.</w:t>
      </w:r>
      <w:r/>
    </w:p>
    <w:p>
      <w:pPr>
        <w:pStyle w:val="656"/>
        <w:ind w:firstLine="709"/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656"/>
        <w:ind w:firstLine="709"/>
        <w:jc w:val="both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656"/>
        <w:jc w:val="right"/>
        <w:rPr>
          <w:i/>
          <w:sz w:val="28"/>
        </w:rPr>
      </w:pPr>
      <w:r>
        <w:rPr>
          <w:i/>
          <w:sz w:val="28"/>
        </w:rPr>
        <w:t xml:space="preserve">Информация подготовлена </w:t>
        <w:br/>
        <w:t xml:space="preserve">отделом развития торговли и потребительских услуг </w:t>
        <w:br/>
        <w:t xml:space="preserve"> по данным Мордовиястат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656"/>
      </w:pPr>
      <w:r/>
      <w:r/>
    </w:p>
    <w:sectPr>
      <w:footnotePr/>
      <w:endnotePr/>
      <w:type w:val="nextPage"/>
      <w:pgSz w:w="11906" w:h="16838" w:orient="portrait"/>
      <w:pgMar w:top="851" w:right="851" w:bottom="567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XO Thames">
    <w:panose1 w:val="02000603000000000000"/>
  </w:font>
  <w:font w:name="Times New Roman">
    <w:panose1 w:val="02020603050405020304"/>
  </w:font>
  <w:font w:name="Arial">
    <w:panose1 w:val="020B0604020202020204"/>
  </w:font>
  <w:font w:name="NSimSun">
    <w:panose1 w:val="02000506000000020000"/>
  </w:font>
  <w:font w:name="Mangal">
    <w:panose1 w:val="02040503050406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NSimSun" w:cs="Mangal" w:asciiTheme="minorHAnsi" w:hAnsiTheme="minorHAnsi"/>
        <w:color w:val="000000"/>
        <w:sz w:val="22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55">
    <w:name w:val="No List"/>
    <w:uiPriority w:val="99"/>
    <w:semiHidden/>
    <w:unhideWhenUsed/>
  </w:style>
  <w:style w:type="paragraph" w:styleId="656" w:default="1">
    <w:name w:val="Normal"/>
    <w:qFormat/>
    <w:pPr>
      <w:jc w:val="left"/>
      <w:spacing w:before="0" w:after="0"/>
      <w:widowControl/>
    </w:pPr>
    <w:rPr>
      <w:rFonts w:ascii="Times New Roman" w:hAnsi="Times New Roman" w:eastAsia="NSimSun" w:cs="Mangal"/>
      <w:color w:val="000000"/>
      <w:sz w:val="24"/>
      <w:szCs w:val="20"/>
      <w:lang w:val="ru-RU" w:eastAsia="zh-CN" w:bidi="hi-IN"/>
    </w:rPr>
  </w:style>
  <w:style w:type="paragraph" w:styleId="657">
    <w:name w:val="Heading 1"/>
    <w:next w:val="656"/>
    <w:uiPriority w:val="9"/>
    <w:qFormat/>
    <w:pPr>
      <w:jc w:val="both"/>
      <w:spacing w:before="120" w:after="120"/>
      <w:widowControl/>
      <w:outlineLvl w:val="0"/>
    </w:pPr>
    <w:rPr>
      <w:rFonts w:ascii="XO Thames" w:hAnsi="XO Thames" w:eastAsia="NSimSun" w:cs="Mangal"/>
      <w:b/>
      <w:color w:val="000000"/>
      <w:sz w:val="32"/>
      <w:szCs w:val="20"/>
      <w:lang w:val="ru-RU" w:eastAsia="zh-CN" w:bidi="hi-IN"/>
    </w:rPr>
  </w:style>
  <w:style w:type="paragraph" w:styleId="658">
    <w:name w:val="Heading 2"/>
    <w:next w:val="656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NSimSun" w:cs="Mangal"/>
      <w:b/>
      <w:color w:val="000000"/>
      <w:sz w:val="28"/>
      <w:szCs w:val="20"/>
      <w:lang w:val="ru-RU" w:eastAsia="zh-CN" w:bidi="hi-IN"/>
    </w:rPr>
  </w:style>
  <w:style w:type="paragraph" w:styleId="659">
    <w:name w:val="Heading 3"/>
    <w:basedOn w:val="656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660">
    <w:name w:val="Heading 4"/>
    <w:next w:val="656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NSimSun" w:cs="Mangal"/>
      <w:b/>
      <w:color w:val="000000"/>
      <w:sz w:val="24"/>
      <w:szCs w:val="20"/>
      <w:lang w:val="ru-RU" w:eastAsia="zh-CN" w:bidi="hi-IN"/>
    </w:rPr>
  </w:style>
  <w:style w:type="paragraph" w:styleId="661">
    <w:name w:val="Heading 5"/>
    <w:next w:val="656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NSimSun" w:cs="Mangal"/>
      <w:b/>
      <w:color w:val="000000"/>
      <w:sz w:val="22"/>
      <w:szCs w:val="20"/>
      <w:lang w:val="ru-RU" w:eastAsia="zh-CN" w:bidi="hi-IN"/>
    </w:rPr>
  </w:style>
  <w:style w:type="paragraph" w:styleId="662">
    <w:name w:val="Heading 6"/>
    <w:basedOn w:val="656"/>
    <w:next w:val="65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3">
    <w:name w:val="Heading 7"/>
    <w:basedOn w:val="656"/>
    <w:next w:val="656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656"/>
    <w:next w:val="65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5">
    <w:name w:val="Heading 9"/>
    <w:basedOn w:val="656"/>
    <w:next w:val="656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6">
    <w:name w:val="Heading 1 Char"/>
    <w:basedOn w:val="688"/>
    <w:uiPriority w:val="9"/>
    <w:qFormat/>
    <w:rPr>
      <w:rFonts w:ascii="Arial" w:hAnsi="Arial" w:eastAsia="Arial" w:cs="Arial"/>
      <w:sz w:val="40"/>
      <w:szCs w:val="40"/>
    </w:rPr>
  </w:style>
  <w:style w:type="character" w:styleId="667">
    <w:name w:val="Heading 2 Char"/>
    <w:basedOn w:val="688"/>
    <w:uiPriority w:val="9"/>
    <w:qFormat/>
    <w:rPr>
      <w:rFonts w:ascii="Arial" w:hAnsi="Arial" w:eastAsia="Arial" w:cs="Arial"/>
      <w:sz w:val="34"/>
    </w:rPr>
  </w:style>
  <w:style w:type="character" w:styleId="668">
    <w:name w:val="Heading 3 Char"/>
    <w:basedOn w:val="688"/>
    <w:uiPriority w:val="9"/>
    <w:qFormat/>
    <w:rPr>
      <w:rFonts w:ascii="Arial" w:hAnsi="Arial" w:eastAsia="Arial" w:cs="Arial"/>
      <w:sz w:val="30"/>
      <w:szCs w:val="30"/>
    </w:rPr>
  </w:style>
  <w:style w:type="character" w:styleId="669">
    <w:name w:val="Heading 4 Char"/>
    <w:basedOn w:val="68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0">
    <w:name w:val="Heading 5 Char"/>
    <w:basedOn w:val="68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1">
    <w:name w:val="Heading 6 Char"/>
    <w:basedOn w:val="68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2">
    <w:name w:val="Heading 7 Char"/>
    <w:basedOn w:val="68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8 Char"/>
    <w:basedOn w:val="68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4">
    <w:name w:val="Heading 9 Char"/>
    <w:basedOn w:val="68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5">
    <w:name w:val="Title Char"/>
    <w:basedOn w:val="688"/>
    <w:uiPriority w:val="10"/>
    <w:qFormat/>
    <w:rPr>
      <w:sz w:val="48"/>
      <w:szCs w:val="48"/>
    </w:rPr>
  </w:style>
  <w:style w:type="character" w:styleId="676">
    <w:name w:val="Subtitle Char"/>
    <w:basedOn w:val="688"/>
    <w:uiPriority w:val="11"/>
    <w:qFormat/>
    <w:rPr>
      <w:sz w:val="24"/>
      <w:szCs w:val="24"/>
    </w:rPr>
  </w:style>
  <w:style w:type="character" w:styleId="677">
    <w:name w:val="Quote Char"/>
    <w:link w:val="728"/>
    <w:uiPriority w:val="29"/>
    <w:qFormat/>
    <w:rPr>
      <w:i/>
    </w:rPr>
  </w:style>
  <w:style w:type="character" w:styleId="678">
    <w:name w:val="Intense Quote Char"/>
    <w:link w:val="729"/>
    <w:uiPriority w:val="30"/>
    <w:qFormat/>
    <w:rPr>
      <w:i/>
    </w:rPr>
  </w:style>
  <w:style w:type="character" w:styleId="679">
    <w:name w:val="Header Char"/>
    <w:basedOn w:val="688"/>
    <w:uiPriority w:val="99"/>
    <w:qFormat/>
  </w:style>
  <w:style w:type="character" w:styleId="680">
    <w:name w:val="Footer Char"/>
    <w:basedOn w:val="688"/>
    <w:uiPriority w:val="99"/>
    <w:qFormat/>
  </w:style>
  <w:style w:type="character" w:styleId="681">
    <w:name w:val="Caption Char"/>
    <w:basedOn w:val="688"/>
    <w:uiPriority w:val="35"/>
    <w:qFormat/>
    <w:rPr>
      <w:b/>
      <w:bCs/>
      <w:color w:val="4f81bd" w:themeColor="accent1"/>
      <w:sz w:val="18"/>
      <w:szCs w:val="18"/>
    </w:rPr>
  </w:style>
  <w:style w:type="character" w:styleId="682">
    <w:name w:val="Footnote Text Char"/>
    <w:uiPriority w:val="99"/>
    <w:qFormat/>
    <w:rPr>
      <w:sz w:val="18"/>
    </w:rPr>
  </w:style>
  <w:style w:type="character" w:styleId="683">
    <w:name w:val="Символ сноски"/>
    <w:basedOn w:val="688"/>
    <w:uiPriority w:val="99"/>
    <w:unhideWhenUsed/>
    <w:qFormat/>
    <w:rPr>
      <w:vertAlign w:val="superscript"/>
    </w:rPr>
  </w:style>
  <w:style w:type="character" w:styleId="684">
    <w:name w:val="footnote reference"/>
    <w:rPr>
      <w:vertAlign w:val="superscript"/>
    </w:rPr>
  </w:style>
  <w:style w:type="character" w:styleId="685">
    <w:name w:val="Endnote Text Char"/>
    <w:uiPriority w:val="99"/>
    <w:qFormat/>
    <w:rPr>
      <w:sz w:val="20"/>
    </w:rPr>
  </w:style>
  <w:style w:type="character" w:styleId="686">
    <w:name w:val="Символ концевой сноски"/>
    <w:basedOn w:val="688"/>
    <w:uiPriority w:val="99"/>
    <w:semiHidden/>
    <w:unhideWhenUsed/>
    <w:qFormat/>
    <w:rPr>
      <w:vertAlign w:val="superscript"/>
    </w:rPr>
  </w:style>
  <w:style w:type="character" w:styleId="687">
    <w:name w:val="endnote reference"/>
    <w:rPr>
      <w:vertAlign w:val="superscript"/>
    </w:rPr>
  </w:style>
  <w:style w:type="character" w:styleId="688" w:default="1">
    <w:name w:val="Default Paragraph Font"/>
    <w:uiPriority w:val="1"/>
    <w:semiHidden/>
    <w:unhideWhenUsed/>
    <w:qFormat/>
  </w:style>
  <w:style w:type="character" w:styleId="689" w:customStyle="1">
    <w:name w:val="Contents 2"/>
    <w:link w:val="745"/>
    <w:qFormat/>
    <w:rPr>
      <w:rFonts w:ascii="XO Thames" w:hAnsi="XO Thames"/>
      <w:sz w:val="28"/>
    </w:rPr>
  </w:style>
  <w:style w:type="character" w:styleId="690" w:customStyle="1">
    <w:name w:val="Название объекта1"/>
    <w:qFormat/>
    <w:rPr>
      <w:i/>
      <w:sz w:val="24"/>
    </w:rPr>
  </w:style>
  <w:style w:type="character" w:styleId="691" w:customStyle="1">
    <w:name w:val="Текст выноски Знак"/>
    <w:link w:val="737"/>
    <w:qFormat/>
    <w:rPr>
      <w:rFonts w:ascii="Tahoma" w:hAnsi="Tahoma"/>
      <w:sz w:val="16"/>
    </w:rPr>
  </w:style>
  <w:style w:type="character" w:styleId="692" w:customStyle="1">
    <w:name w:val="Contents 4"/>
    <w:link w:val="759"/>
    <w:qFormat/>
    <w:rPr>
      <w:rFonts w:ascii="XO Thames" w:hAnsi="XO Thames"/>
      <w:sz w:val="28"/>
    </w:rPr>
  </w:style>
  <w:style w:type="character" w:styleId="693" w:customStyle="1">
    <w:name w:val="Заголовок 11"/>
    <w:qFormat/>
    <w:rPr>
      <w:rFonts w:ascii="XO Thames" w:hAnsi="XO Thames"/>
      <w:b/>
      <w:color w:val="000000"/>
      <w:spacing w:val="0"/>
      <w:sz w:val="32"/>
    </w:rPr>
  </w:style>
  <w:style w:type="character" w:styleId="694" w:customStyle="1">
    <w:name w:val="Contents 6"/>
    <w:link w:val="769"/>
    <w:qFormat/>
    <w:rPr>
      <w:rFonts w:ascii="XO Thames" w:hAnsi="XO Thames"/>
      <w:sz w:val="28"/>
    </w:rPr>
  </w:style>
  <w:style w:type="character" w:styleId="695" w:customStyle="1">
    <w:name w:val="Список1"/>
    <w:basedOn w:val="711"/>
    <w:qFormat/>
  </w:style>
  <w:style w:type="character" w:styleId="696" w:customStyle="1">
    <w:name w:val="Contents 7"/>
    <w:link w:val="763"/>
    <w:qFormat/>
    <w:rPr>
      <w:rFonts w:ascii="XO Thames" w:hAnsi="XO Thames"/>
      <w:sz w:val="28"/>
    </w:rPr>
  </w:style>
  <w:style w:type="character" w:styleId="697" w:customStyle="1">
    <w:name w:val="Верхний колонтитул1"/>
    <w:qFormat/>
  </w:style>
  <w:style w:type="character" w:styleId="698" w:customStyle="1">
    <w:name w:val="Заголовок 31"/>
    <w:qFormat/>
    <w:rPr>
      <w:b/>
      <w:sz w:val="27"/>
    </w:rPr>
  </w:style>
  <w:style w:type="character" w:styleId="699" w:customStyle="1">
    <w:name w:val="Колонтитул"/>
    <w:link w:val="742"/>
    <w:qFormat/>
  </w:style>
  <w:style w:type="character" w:styleId="700" w:customStyle="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styleId="701" w:customStyle="1">
    <w:name w:val="Нижний колонтитул1"/>
    <w:qFormat/>
  </w:style>
  <w:style w:type="character" w:styleId="702" w:customStyle="1">
    <w:name w:val="Верхний колонтитул Знак"/>
    <w:basedOn w:val="688"/>
    <w:link w:val="747"/>
    <w:qFormat/>
    <w:rPr>
      <w:rFonts w:ascii="Times New Roman" w:hAnsi="Times New Roman"/>
      <w:sz w:val="24"/>
    </w:rPr>
  </w:style>
  <w:style w:type="character" w:styleId="703" w:customStyle="1">
    <w:name w:val="Contents 1"/>
    <w:link w:val="748"/>
    <w:qFormat/>
    <w:rPr>
      <w:rFonts w:ascii="XO Thames" w:hAnsi="XO Thames"/>
      <w:b/>
      <w:color w:val="000000"/>
      <w:spacing w:val="0"/>
      <w:sz w:val="28"/>
    </w:rPr>
  </w:style>
  <w:style w:type="character" w:styleId="704" w:customStyle="1">
    <w:name w:val="Contents 3"/>
    <w:link w:val="765"/>
    <w:qFormat/>
    <w:rPr>
      <w:rFonts w:ascii="XO Thames" w:hAnsi="XO Thames"/>
      <w:sz w:val="28"/>
    </w:rPr>
  </w:style>
  <w:style w:type="character" w:styleId="705" w:customStyle="1">
    <w:name w:val="Contents 9"/>
    <w:link w:val="750"/>
    <w:qFormat/>
    <w:rPr>
      <w:rFonts w:ascii="XO Thames" w:hAnsi="XO Thames"/>
      <w:color w:val="000000"/>
      <w:spacing w:val="0"/>
      <w:sz w:val="28"/>
    </w:rPr>
  </w:style>
  <w:style w:type="character" w:styleId="706" w:customStyle="1">
    <w:name w:val="Указатель Знак"/>
    <w:qFormat/>
  </w:style>
  <w:style w:type="character" w:styleId="707" w:customStyle="1">
    <w:name w:val="Подзаголовок1"/>
    <w:qFormat/>
    <w:rPr>
      <w:rFonts w:ascii="XO Thames" w:hAnsi="XO Thames"/>
      <w:i/>
      <w:sz w:val="24"/>
    </w:rPr>
  </w:style>
  <w:style w:type="character" w:styleId="708" w:customStyle="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styleId="709">
    <w:name w:val="Hyperlink"/>
    <w:link w:val="752"/>
    <w:rPr>
      <w:rFonts w:ascii="Calibri" w:hAnsi="Calibri"/>
      <w:color w:val="000080"/>
      <w:spacing w:val="0"/>
      <w:sz w:val="22"/>
      <w:u w:val="single"/>
    </w:rPr>
  </w:style>
  <w:style w:type="character" w:styleId="710" w:customStyle="1">
    <w:name w:val="Footnote"/>
    <w:link w:val="754"/>
    <w:qFormat/>
    <w:rPr>
      <w:rFonts w:ascii="XO Thames" w:hAnsi="XO Thames"/>
      <w:color w:val="000000"/>
      <w:spacing w:val="0"/>
      <w:sz w:val="22"/>
    </w:rPr>
  </w:style>
  <w:style w:type="character" w:styleId="711" w:customStyle="1">
    <w:name w:val="Text body"/>
    <w:link w:val="755"/>
    <w:qFormat/>
  </w:style>
  <w:style w:type="character" w:styleId="712" w:customStyle="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styleId="713" w:customStyle="1">
    <w:name w:val="Header and Footer"/>
    <w:qFormat/>
    <w:rPr>
      <w:rFonts w:ascii="XO Thames" w:hAnsi="XO Thames"/>
      <w:sz w:val="20"/>
    </w:rPr>
  </w:style>
  <w:style w:type="character" w:styleId="714" w:customStyle="1">
    <w:name w:val="Contents 8"/>
    <w:link w:val="758"/>
    <w:qFormat/>
    <w:rPr>
      <w:rFonts w:ascii="XO Thames" w:hAnsi="XO Thames"/>
      <w:color w:val="000000"/>
      <w:spacing w:val="0"/>
      <w:sz w:val="28"/>
    </w:rPr>
  </w:style>
  <w:style w:type="character" w:styleId="715" w:customStyle="1">
    <w:name w:val="Нижний колонтитул Знак"/>
    <w:basedOn w:val="688"/>
    <w:link w:val="760"/>
    <w:qFormat/>
    <w:rPr>
      <w:rFonts w:ascii="Times New Roman" w:hAnsi="Times New Roman"/>
      <w:sz w:val="24"/>
    </w:rPr>
  </w:style>
  <w:style w:type="character" w:styleId="716" w:customStyle="1">
    <w:name w:val="Contents 5"/>
    <w:link w:val="762"/>
    <w:qFormat/>
    <w:rPr>
      <w:rFonts w:ascii="XO Thames" w:hAnsi="XO Thames"/>
      <w:color w:val="000000"/>
      <w:spacing w:val="0"/>
      <w:sz w:val="28"/>
    </w:rPr>
  </w:style>
  <w:style w:type="character" w:styleId="717" w:customStyle="1">
    <w:name w:val="Обычный (веб) Знак"/>
    <w:link w:val="764"/>
    <w:qFormat/>
  </w:style>
  <w:style w:type="character" w:styleId="718" w:customStyle="1">
    <w:name w:val="Название1"/>
    <w:qFormat/>
    <w:rPr>
      <w:rFonts w:ascii="XO Thames" w:hAnsi="XO Thames"/>
      <w:b/>
      <w:caps/>
      <w:sz w:val="40"/>
    </w:rPr>
  </w:style>
  <w:style w:type="character" w:styleId="719" w:customStyle="1">
    <w:name w:val="Заголовок 3 Знак"/>
    <w:basedOn w:val="688"/>
    <w:link w:val="767"/>
    <w:qFormat/>
    <w:rPr>
      <w:rFonts w:ascii="Times New Roman" w:hAnsi="Times New Roman"/>
      <w:b/>
      <w:sz w:val="27"/>
    </w:rPr>
  </w:style>
  <w:style w:type="character" w:styleId="720" w:customStyle="1">
    <w:name w:val="Заголовок"/>
    <w:link w:val="721"/>
    <w:qFormat/>
    <w:rPr>
      <w:rFonts w:ascii="Liberation Sans" w:hAnsi="Liberation Sans"/>
      <w:sz w:val="28"/>
    </w:rPr>
  </w:style>
  <w:style w:type="paragraph" w:styleId="721">
    <w:name w:val="Заголовок1"/>
    <w:basedOn w:val="656"/>
    <w:next w:val="722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722">
    <w:name w:val="Body Text"/>
    <w:basedOn w:val="656"/>
    <w:pPr>
      <w:spacing w:before="0" w:after="140" w:line="276" w:lineRule="auto"/>
    </w:pPr>
  </w:style>
  <w:style w:type="paragraph" w:styleId="723">
    <w:name w:val="List"/>
    <w:basedOn w:val="755"/>
  </w:style>
  <w:style w:type="paragraph" w:styleId="724">
    <w:name w:val="Caption"/>
    <w:link w:val="681"/>
    <w:qFormat/>
    <w:pPr>
      <w:jc w:val="left"/>
      <w:spacing w:before="0" w:after="0"/>
      <w:widowControl/>
    </w:pPr>
    <w:rPr>
      <w:rFonts w:ascii="Calibri" w:hAnsi="Calibri" w:eastAsia="NSimSun" w:cs="Mangal" w:asciiTheme="minorHAnsi" w:hAnsiTheme="minorHAnsi"/>
      <w:i/>
      <w:color w:val="000000"/>
      <w:sz w:val="24"/>
      <w:szCs w:val="20"/>
      <w:lang w:val="ru-RU" w:eastAsia="zh-CN" w:bidi="hi-IN"/>
    </w:rPr>
  </w:style>
  <w:style w:type="paragraph" w:styleId="725">
    <w:name w:val="Указатель"/>
    <w:basedOn w:val="656"/>
    <w:qFormat/>
    <w:pPr>
      <w:suppressLineNumbers/>
    </w:pPr>
    <w:rPr>
      <w:rFonts w:cs="Noto Sans"/>
    </w:rPr>
  </w:style>
  <w:style w:type="paragraph" w:styleId="726">
    <w:name w:val="List Paragraph"/>
    <w:basedOn w:val="656"/>
    <w:uiPriority w:val="34"/>
    <w:qFormat/>
    <w:pPr>
      <w:contextualSpacing/>
      <w:ind w:left="720"/>
      <w:spacing w:before="0" w:after="0"/>
    </w:pPr>
  </w:style>
  <w:style w:type="paragraph" w:styleId="727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NSimSun" w:cs="Mangal" w:asciiTheme="minorHAnsi" w:hAnsiTheme="minorHAnsi"/>
      <w:color w:val="000000"/>
      <w:sz w:val="22"/>
      <w:szCs w:val="20"/>
      <w:lang w:val="ru-RU" w:eastAsia="zh-CN" w:bidi="hi-IN"/>
    </w:rPr>
  </w:style>
  <w:style w:type="paragraph" w:styleId="728">
    <w:name w:val="Quote"/>
    <w:basedOn w:val="656"/>
    <w:next w:val="656"/>
    <w:link w:val="677"/>
    <w:uiPriority w:val="29"/>
    <w:qFormat/>
    <w:pPr>
      <w:ind w:left="720" w:right="720"/>
    </w:pPr>
    <w:rPr>
      <w:i/>
    </w:rPr>
  </w:style>
  <w:style w:type="paragraph" w:styleId="729">
    <w:name w:val="Intense Quote"/>
    <w:basedOn w:val="656"/>
    <w:next w:val="656"/>
    <w:link w:val="678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0">
    <w:name w:val="footnote text"/>
    <w:basedOn w:val="656"/>
    <w:link w:val="68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31">
    <w:name w:val="endnote text"/>
    <w:basedOn w:val="656"/>
    <w:link w:val="685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2">
    <w:name w:val="index heading"/>
    <w:basedOn w:val="656"/>
    <w:link w:val="706"/>
    <w:qFormat/>
  </w:style>
  <w:style w:type="paragraph" w:styleId="733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NSimSun" w:cs="Mangal" w:asciiTheme="minorHAnsi" w:hAnsiTheme="minorHAnsi"/>
      <w:color w:val="000000"/>
      <w:sz w:val="22"/>
      <w:szCs w:val="20"/>
      <w:lang w:val="ru-RU" w:eastAsia="zh-CN" w:bidi="hi-IN"/>
    </w:rPr>
  </w:style>
  <w:style w:type="paragraph" w:styleId="734">
    <w:name w:val="table of figures"/>
    <w:basedOn w:val="656"/>
    <w:next w:val="656"/>
    <w:uiPriority w:val="99"/>
    <w:unhideWhenUsed/>
    <w:pPr>
      <w:spacing w:before="0" w:after="0" w:afterAutospacing="0"/>
    </w:pPr>
  </w:style>
  <w:style w:type="paragraph" w:styleId="735" w:customStyle="1">
    <w:name w:val="Заголовок (user)"/>
    <w:basedOn w:val="656"/>
    <w:next w:val="722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736">
    <w:name w:val="toc 2"/>
    <w:next w:val="656"/>
    <w:uiPriority w:val="39"/>
    <w:pPr>
      <w:ind w:left="2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37">
    <w:name w:val="Balloon Text"/>
    <w:basedOn w:val="656"/>
    <w:link w:val="691"/>
    <w:qFormat/>
    <w:rPr>
      <w:rFonts w:ascii="Tahoma" w:hAnsi="Tahoma"/>
      <w:sz w:val="16"/>
    </w:rPr>
  </w:style>
  <w:style w:type="paragraph" w:styleId="738" w:customStyle="1">
    <w:name w:val="Основной шрифт абзаца1"/>
    <w:qFormat/>
    <w:pPr>
      <w:jc w:val="left"/>
      <w:spacing w:before="0" w:after="0"/>
      <w:widowControl/>
    </w:pPr>
    <w:rPr>
      <w:rFonts w:ascii="Calibri" w:hAnsi="Calibri" w:eastAsia="NSimSun" w:cs="Mangal" w:asciiTheme="minorHAnsi" w:hAnsiTheme="minorHAnsi"/>
      <w:color w:val="000000"/>
      <w:sz w:val="22"/>
      <w:szCs w:val="20"/>
      <w:lang w:val="ru-RU" w:eastAsia="zh-CN" w:bidi="hi-IN"/>
    </w:rPr>
  </w:style>
  <w:style w:type="paragraph" w:styleId="739">
    <w:name w:val="toc 4"/>
    <w:next w:val="656"/>
    <w:uiPriority w:val="39"/>
    <w:pPr>
      <w:ind w:left="6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40">
    <w:name w:val="toc 6"/>
    <w:next w:val="656"/>
    <w:uiPriority w:val="39"/>
    <w:pPr>
      <w:ind w:left="10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41">
    <w:name w:val="toc 7"/>
    <w:next w:val="656"/>
    <w:uiPriority w:val="39"/>
    <w:pPr>
      <w:ind w:left="12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42" w:customStyle="1">
    <w:name w:val="Колонтитул1"/>
    <w:link w:val="699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0"/>
      <w:szCs w:val="20"/>
      <w:lang w:val="ru-RU" w:eastAsia="zh-CN" w:bidi="hi-IN"/>
    </w:rPr>
  </w:style>
  <w:style w:type="paragraph" w:styleId="743">
    <w:name w:val="Колонтитулы"/>
    <w:basedOn w:val="656"/>
    <w:qFormat/>
  </w:style>
  <w:style w:type="paragraph" w:styleId="744">
    <w:name w:val="Header"/>
    <w:pPr>
      <w:jc w:val="left"/>
      <w:spacing w:before="0" w:after="0"/>
      <w:widowControl/>
    </w:pPr>
    <w:rPr>
      <w:rFonts w:ascii="Calibri" w:hAnsi="Calibri" w:eastAsia="NSimSun" w:cs="Mangal" w:asciiTheme="minorHAnsi" w:hAnsiTheme="minorHAnsi"/>
      <w:color w:val="000000"/>
      <w:sz w:val="22"/>
      <w:szCs w:val="20"/>
      <w:lang w:val="ru-RU" w:eastAsia="zh-CN" w:bidi="hi-IN"/>
    </w:rPr>
  </w:style>
  <w:style w:type="paragraph" w:styleId="745" w:customStyle="1">
    <w:name w:val="Contents 21"/>
    <w:link w:val="689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46">
    <w:name w:val="Footer"/>
    <w:basedOn w:val="656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47" w:customStyle="1">
    <w:name w:val="Верхний колонтитул Знак1"/>
    <w:basedOn w:val="738"/>
    <w:link w:val="702"/>
    <w:qFormat/>
    <w:rPr>
      <w:rFonts w:ascii="Times New Roman" w:hAnsi="Times New Roman"/>
      <w:sz w:val="24"/>
    </w:rPr>
  </w:style>
  <w:style w:type="paragraph" w:styleId="748" w:customStyle="1">
    <w:name w:val="Contents 11"/>
    <w:link w:val="703"/>
    <w:qFormat/>
    <w:pPr>
      <w:jc w:val="left"/>
      <w:spacing w:before="0" w:after="0"/>
      <w:widowControl/>
    </w:pPr>
    <w:rPr>
      <w:rFonts w:ascii="XO Thames" w:hAnsi="XO Thames" w:eastAsia="NSimSun" w:cs="Mangal"/>
      <w:b/>
      <w:color w:val="000000"/>
      <w:sz w:val="28"/>
      <w:szCs w:val="20"/>
      <w:lang w:val="ru-RU" w:eastAsia="zh-CN" w:bidi="hi-IN"/>
    </w:rPr>
  </w:style>
  <w:style w:type="paragraph" w:styleId="749">
    <w:name w:val="toc 3"/>
    <w:next w:val="656"/>
    <w:uiPriority w:val="39"/>
    <w:pPr>
      <w:ind w:left="4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50" w:customStyle="1">
    <w:name w:val="Contents 91"/>
    <w:link w:val="705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51">
    <w:name w:val="Subtitle"/>
    <w:next w:val="656"/>
    <w:uiPriority w:val="11"/>
    <w:qFormat/>
    <w:pPr>
      <w:jc w:val="left"/>
      <w:spacing w:before="0" w:after="0"/>
      <w:widowControl/>
    </w:pPr>
    <w:rPr>
      <w:rFonts w:ascii="XO Thames" w:hAnsi="XO Thames" w:eastAsia="NSimSun" w:cs="Mangal"/>
      <w:i/>
      <w:color w:val="000000"/>
      <w:sz w:val="24"/>
      <w:szCs w:val="20"/>
      <w:lang w:val="ru-RU" w:eastAsia="zh-CN" w:bidi="hi-IN"/>
    </w:rPr>
  </w:style>
  <w:style w:type="paragraph" w:styleId="752" w:customStyle="1">
    <w:name w:val="Интернет-ссылка"/>
    <w:qFormat/>
    <w:pPr>
      <w:jc w:val="left"/>
      <w:spacing w:before="0" w:after="0"/>
      <w:widowControl/>
    </w:pPr>
    <w:rPr>
      <w:rFonts w:ascii="Calibri" w:hAnsi="Calibri" w:eastAsia="NSimSun" w:cs="Mangal"/>
      <w:color w:val="000080"/>
      <w:sz w:val="22"/>
      <w:szCs w:val="20"/>
      <w:u w:val="single"/>
      <w:lang w:val="ru-RU" w:eastAsia="zh-CN" w:bidi="hi-IN"/>
    </w:rPr>
  </w:style>
  <w:style w:type="paragraph" w:styleId="753" w:customStyle="1">
    <w:name w:val="Internet link"/>
    <w:qFormat/>
    <w:pPr>
      <w:jc w:val="left"/>
      <w:spacing w:before="0" w:after="0"/>
      <w:widowControl/>
    </w:pPr>
    <w:rPr>
      <w:rFonts w:ascii="Calibri" w:hAnsi="Calibri" w:eastAsia="NSimSun" w:cs="Mangal"/>
      <w:color w:val="000080"/>
      <w:sz w:val="22"/>
      <w:szCs w:val="20"/>
      <w:u w:val="single"/>
      <w:lang w:val="ru-RU" w:eastAsia="zh-CN" w:bidi="hi-IN"/>
    </w:rPr>
  </w:style>
  <w:style w:type="paragraph" w:styleId="754" w:customStyle="1">
    <w:name w:val="Footnote1"/>
    <w:link w:val="710"/>
    <w:qFormat/>
    <w:pPr>
      <w:ind w:firstLine="851"/>
      <w:jc w:val="both"/>
      <w:spacing w:before="0" w:after="0"/>
      <w:widowControl/>
    </w:pPr>
    <w:rPr>
      <w:rFonts w:ascii="XO Thames" w:hAnsi="XO Thames" w:eastAsia="NSimSun" w:cs="Mangal"/>
      <w:color w:val="000000"/>
      <w:sz w:val="22"/>
      <w:szCs w:val="20"/>
      <w:lang w:val="ru-RU" w:eastAsia="zh-CN" w:bidi="hi-IN"/>
    </w:rPr>
  </w:style>
  <w:style w:type="paragraph" w:styleId="755" w:customStyle="1">
    <w:name w:val="Text body1"/>
    <w:link w:val="711"/>
    <w:qFormat/>
    <w:pPr>
      <w:jc w:val="left"/>
      <w:spacing w:before="0" w:after="0"/>
      <w:widowControl/>
    </w:pPr>
    <w:rPr>
      <w:rFonts w:ascii="Calibri" w:hAnsi="Calibri" w:eastAsia="NSimSun" w:cs="Mangal" w:asciiTheme="minorHAnsi" w:hAnsiTheme="minorHAnsi"/>
      <w:color w:val="000000"/>
      <w:sz w:val="22"/>
      <w:szCs w:val="20"/>
      <w:lang w:val="ru-RU" w:eastAsia="zh-CN" w:bidi="hi-IN"/>
    </w:rPr>
  </w:style>
  <w:style w:type="paragraph" w:styleId="756">
    <w:name w:val="toc 1"/>
    <w:next w:val="656"/>
    <w:uiPriority w:val="39"/>
    <w:pPr>
      <w:jc w:val="left"/>
      <w:spacing w:before="0" w:after="0"/>
      <w:widowControl/>
    </w:pPr>
    <w:rPr>
      <w:rFonts w:ascii="XO Thames" w:hAnsi="XO Thames" w:eastAsia="NSimSun" w:cs="Mangal"/>
      <w:b/>
      <w:color w:val="000000"/>
      <w:sz w:val="28"/>
      <w:szCs w:val="20"/>
      <w:lang w:val="ru-RU" w:eastAsia="zh-CN" w:bidi="hi-IN"/>
    </w:rPr>
  </w:style>
  <w:style w:type="paragraph" w:styleId="757">
    <w:name w:val="toc 9"/>
    <w:next w:val="656"/>
    <w:uiPriority w:val="39"/>
    <w:pPr>
      <w:ind w:left="16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58" w:customStyle="1">
    <w:name w:val="Contents 81"/>
    <w:link w:val="714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59" w:customStyle="1">
    <w:name w:val="Contents 41"/>
    <w:link w:val="692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0" w:customStyle="1">
    <w:name w:val="Нижний колонтитул Знак1"/>
    <w:basedOn w:val="738"/>
    <w:link w:val="715"/>
    <w:qFormat/>
    <w:rPr>
      <w:rFonts w:ascii="Times New Roman" w:hAnsi="Times New Roman"/>
      <w:sz w:val="24"/>
    </w:rPr>
  </w:style>
  <w:style w:type="paragraph" w:styleId="761">
    <w:name w:val="toc 8"/>
    <w:next w:val="656"/>
    <w:uiPriority w:val="39"/>
    <w:pPr>
      <w:ind w:left="14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2" w:customStyle="1">
    <w:name w:val="Contents 51"/>
    <w:link w:val="716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3" w:customStyle="1">
    <w:name w:val="Contents 71"/>
    <w:link w:val="696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4">
    <w:name w:val="Normal (Web)"/>
    <w:basedOn w:val="656"/>
    <w:link w:val="717"/>
    <w:qFormat/>
    <w:pPr>
      <w:spacing w:beforeAutospacing="1" w:afterAutospacing="1"/>
    </w:pPr>
  </w:style>
  <w:style w:type="paragraph" w:styleId="765" w:customStyle="1">
    <w:name w:val="Contents 31"/>
    <w:link w:val="704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6">
    <w:name w:val="Title"/>
    <w:next w:val="656"/>
    <w:uiPriority w:val="10"/>
    <w:qFormat/>
    <w:pPr>
      <w:jc w:val="left"/>
      <w:spacing w:before="0" w:after="0"/>
      <w:widowControl/>
    </w:pPr>
    <w:rPr>
      <w:rFonts w:ascii="XO Thames" w:hAnsi="XO Thames" w:eastAsia="NSimSun" w:cs="Mangal"/>
      <w:b/>
      <w:caps/>
      <w:color w:val="000000"/>
      <w:sz w:val="40"/>
      <w:szCs w:val="20"/>
      <w:lang w:val="ru-RU" w:eastAsia="zh-CN" w:bidi="hi-IN"/>
    </w:rPr>
  </w:style>
  <w:style w:type="paragraph" w:styleId="767" w:customStyle="1">
    <w:name w:val="Заголовок 3 Знак1"/>
    <w:basedOn w:val="738"/>
    <w:link w:val="719"/>
    <w:qFormat/>
    <w:rPr>
      <w:rFonts w:ascii="Times New Roman" w:hAnsi="Times New Roman"/>
      <w:b/>
      <w:sz w:val="27"/>
    </w:rPr>
  </w:style>
  <w:style w:type="paragraph" w:styleId="768">
    <w:name w:val="toc 5"/>
    <w:next w:val="656"/>
    <w:uiPriority w:val="39"/>
    <w:pPr>
      <w:ind w:left="800"/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paragraph" w:styleId="769" w:customStyle="1">
    <w:name w:val="Contents 61"/>
    <w:link w:val="694"/>
    <w:qFormat/>
    <w:pPr>
      <w:jc w:val="left"/>
      <w:spacing w:before="0" w:after="0"/>
      <w:widowControl/>
    </w:pPr>
    <w:rPr>
      <w:rFonts w:ascii="XO Thames" w:hAnsi="XO Thames" w:eastAsia="NSimSun" w:cs="Mangal"/>
      <w:color w:val="000000"/>
      <w:sz w:val="28"/>
      <w:szCs w:val="20"/>
      <w:lang w:val="ru-RU" w:eastAsia="zh-CN" w:bidi="hi-IN"/>
    </w:rPr>
  </w:style>
  <w:style w:type="numbering" w:styleId="770" w:default="1">
    <w:name w:val="Без списка"/>
    <w:uiPriority w:val="99"/>
    <w:semiHidden/>
    <w:unhideWhenUsed/>
    <w:qFormat/>
  </w:style>
  <w:style w:type="table" w:styleId="771">
    <w:name w:val="Table Grid"/>
    <w:basedOn w:val="8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>
    <w:name w:val="Table Grid Light"/>
    <w:basedOn w:val="89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basedOn w:val="897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4">
    <w:name w:val="Plain Table 2"/>
    <w:basedOn w:val="89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5">
    <w:name w:val="Plain Table 3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6">
    <w:name w:val="Plain Table 4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7">
    <w:name w:val="Plain Table 5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9">
    <w:name w:val="Grid Table 1 Light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>
    <w:name w:val="Grid Table 1 Light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>
    <w:name w:val="Grid Table 1 Light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2">
    <w:name w:val="Grid Table 1 Light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>
    <w:name w:val="Grid Table 1 Light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4">
    <w:name w:val="Grid Table 1 Light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5">
    <w:name w:val="Grid Table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Grid Table 4 - Accent 2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02">
    <w:name w:val="Grid Table 4 - Accent 3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03">
    <w:name w:val="Grid Table 4 - Accent 4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04">
    <w:name w:val="Grid Table 4 - Accent 5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basedOn w:val="897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14">
    <w:name w:val="Grid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15">
    <w:name w:val="Grid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16">
    <w:name w:val="Grid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17">
    <w:name w:val="Grid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18">
    <w:name w:val="Grid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19">
    <w:name w:val="Grid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20">
    <w:name w:val="Grid Table 7 Colorful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5">
    <w:name w:val="List Table 2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36">
    <w:name w:val="List Table 2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37">
    <w:name w:val="List Table 2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38">
    <w:name w:val="List Table 2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39">
    <w:name w:val="List Table 2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0">
    <w:name w:val="List Table 2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1">
    <w:name w:val="List Table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>
    <w:name w:val="List Table 3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>
    <w:name w:val="List Table 3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>
    <w:name w:val="List Table 3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>
    <w:name w:val="List Table 3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>
    <w:name w:val="List Table 3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>
    <w:name w:val="List Table 3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>
    <w:name w:val="List Table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>
    <w:name w:val="List Table 4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>
    <w:name w:val="List Table 4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>
    <w:name w:val="List Table 4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>
    <w:name w:val="List Table 4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List Table 4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4">
    <w:name w:val="List Table 4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5">
    <w:name w:val="List Table 5 Dark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6">
    <w:name w:val="List Table 5 Dark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7">
    <w:name w:val="List Table 5 Dark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8">
    <w:name w:val="List Table 5 Dark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9">
    <w:name w:val="List Table 5 Dark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0">
    <w:name w:val="List Table 5 Dark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1">
    <w:name w:val="List Table 5 Dark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2">
    <w:name w:val="List Table 6 Colorful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3">
    <w:name w:val="List Table 6 Colorful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65">
    <w:name w:val="List Table 6 Colorful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66">
    <w:name w:val="List Table 6 Colorful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67">
    <w:name w:val="List Table 6 Colorful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68">
    <w:name w:val="List Table 6 Colorful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69">
    <w:name w:val="List Table 7 Colorful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0">
    <w:name w:val="List Table 7 Colorful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1">
    <w:name w:val="List Table 7 Colorful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72">
    <w:name w:val="List Table 7 Colorful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73">
    <w:name w:val="List Table 7 Colorful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74">
    <w:name w:val="List Table 7 Colorful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75">
    <w:name w:val="List Table 7 Colorful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76">
    <w:name w:val="Lined - Accent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7">
    <w:name w:val="Lined - Accent 1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78">
    <w:name w:val="Lined - Accent 2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79">
    <w:name w:val="Lined - Accent 3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80">
    <w:name w:val="Lined - Accent 4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1">
    <w:name w:val="Lined - Accent 5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2">
    <w:name w:val="Lined - Accent 6"/>
    <w:basedOn w:val="89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3">
    <w:name w:val="Bordered &amp; Lined - Accent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4">
    <w:name w:val="Bordered &amp; Lined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85">
    <w:name w:val="Bordered &amp; Lined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86">
    <w:name w:val="Bordered &amp; Lined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87">
    <w:name w:val="Bordered &amp; Lined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8">
    <w:name w:val="Bordered &amp; Lined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9">
    <w:name w:val="Bordered &amp; Lined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90">
    <w:name w:val="Bordered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1">
    <w:name w:val="Bordered - Accent 1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93">
    <w:name w:val="Bordered - Accent 3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94">
    <w:name w:val="Bordered - Accent 4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95">
    <w:name w:val="Bordered - Accent 5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96">
    <w:name w:val="Bordered - Accent 6"/>
    <w:basedOn w:val="89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97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hart" Target="charts/chart1.xml" /><Relationship Id="rId9" Type="http://schemas.openxmlformats.org/officeDocument/2006/relationships/chart" Target="charts/chart2.xml" /><Relationship Id="rId10" Type="http://schemas.openxmlformats.org/officeDocument/2006/relationships/chart" Target="charts/chart3.xml" /><Relationship Id="rId11" Type="http://schemas.openxmlformats.org/officeDocument/2006/relationships/chart" Target="charts/chart4.xml" /><Relationship Id="rId12" Type="http://schemas.openxmlformats.org/officeDocument/2006/relationships/chart" Target="charts/chart5.xml" /><Relationship Id="rId13" Type="http://schemas.openxmlformats.org/officeDocument/2006/relationships/chart" Target="charts/chart6.xml" /><Relationship Id="rId14" Type="http://schemas.openxmlformats.org/officeDocument/2006/relationships/chart" Target="charts/chart7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_rels/chart5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5.xlsx" /></Relationships>
</file>

<file path=word/charts/_rels/chart6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6.xlsx" /></Relationships>
</file>

<file path=word/charts/_rels/chart7.xml.rels><?xml version="1.0" encoding="UTF-8" standalone="yes"?><Relationships xmlns="http://schemas.openxmlformats.org/package/2006/relationships"><Relationship Id="rId1" Type="http://schemas.microsoft.com/office/2011/relationships/chartStyle" Target="style4.xml" /><Relationship Id="rId2" Type="http://schemas.microsoft.com/office/2011/relationships/chartColorStyle" Target="colors4.xml" /><Relationship Id="rId3" Type="http://schemas.openxmlformats.org/officeDocument/2006/relationships/package" Target="../embeddings/Microsoft_Excel_Worksheet7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>
        <c:manualLayout>
          <c:layoutTarget val="inner"/>
          <c:xMode val="edge"/>
          <c:yMode val="edge"/>
          <c:x val="0.167080"/>
          <c:y val="0.077260"/>
          <c:w val="0.818130"/>
          <c:h val="0.740710"/>
        </c:manualLayout>
      </c:layout>
      <c:barChart>
        <c:barDir val="bar"/>
        <c:grouping val="standard"/>
        <c:varyColors val="0"/>
        <c:ser>
          <c:idx val="0"/>
          <c:order val="0"/>
          <c:tx>
            <c:strRef>
              <c:f>Июль_25!$B$10</c:f>
              <c:strCache>
                <c:ptCount val="1"/>
                <c:pt idx="0">
                  <c:v xml:space="preserve">2026 год</c:v>
                </c:pt>
              </c:strCache>
            </c:strRef>
          </c:tx>
          <c:spPr bwMode="auto">
            <a:prstGeom prst="rect">
              <a:avLst/>
            </a:prstGeom>
            <a:solidFill>
              <a:srgbClr val="4472C4"/>
            </a:solidFill>
            <a:ln w="3175">
              <a:noFill/>
            </a:ln>
          </c:spPr>
          <c:dLbls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Июль_25!$A$3:$A$9</c:f>
              <c:strCache>
                <c:ptCount val="7"/>
                <c:pt idx="0">
                  <c:v>январь</c:v>
                </c:pt>
                <c:pt idx="1">
                  <c:v>январь-февраль</c:v>
                </c:pt>
                <c:pt idx="2">
                  <c:v>январь-март</c:v>
                </c:pt>
                <c:pt idx="3">
                  <c:v>январь-апрель</c:v>
                </c:pt>
                <c:pt idx="4">
                  <c:v>январь-май</c:v>
                </c:pt>
                <c:pt idx="5">
                  <c:v>январь-июнь</c:v>
                </c:pt>
                <c:pt idx="6">
                  <c:v>январь-июль</c:v>
                </c:pt>
              </c:strCache>
            </c:strRef>
          </c:cat>
          <c:val>
            <c:numRef>
              <c:f>Июль_25!$B$3:$B$9</c:f>
              <c:numCache>
                <c:formatCode>General</c:formatCode>
                <c:ptCount val="7"/>
                <c:pt idx="0" formatCode="General">
                  <c:v>108.2</c:v>
                </c:pt>
                <c:pt idx="1" formatCode="General">
                  <c:v>106.9</c:v>
                </c:pt>
                <c:pt idx="2" formatCode="General">
                  <c:v>107.3</c:v>
                </c:pt>
                <c:pt idx="3" formatCode="0.0">
                  <c:v>107</c:v>
                </c:pt>
                <c:pt idx="4" formatCode="General">
                  <c:v>107.6</c:v>
                </c:pt>
                <c:pt idx="5" formatCode="General">
                  <c:v>108.1</c:v>
                </c:pt>
                <c:pt idx="6" formatCode="0.0">
                  <c:v>107.7</c:v>
                </c:pt>
              </c:numCache>
            </c:numRef>
          </c:val>
        </c:ser>
        <c:ser>
          <c:idx val="1"/>
          <c:order val="1"/>
          <c:tx>
            <c:strRef>
              <c:f>Июль_25!$C$10</c:f>
              <c:strCache>
                <c:ptCount val="1"/>
                <c:pt idx="0">
                  <c:v xml:space="preserve">2025 год</c:v>
                </c:pt>
              </c:strCache>
            </c:strRef>
          </c:tx>
          <c:spPr bwMode="auto">
            <a:prstGeom prst="rect">
              <a:avLst/>
            </a:prstGeom>
            <a:solidFill>
              <a:srgbClr val="ED7D31"/>
            </a:solidFill>
            <a:ln w="3175">
              <a:noFill/>
            </a:ln>
          </c:spPr>
          <c:dPt>
            <c:idx val="0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4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5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6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Lbls>
            <c:dLbl>
              <c:idx val="0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>
                <c:manualLayout>
                  <c:x val="0.010290"/>
                  <c:y val="-0.01603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4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5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6"/>
              <c:layout>
                <c:manualLayout>
                  <c:x val="0.006860"/>
                  <c:y val="-0.00728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Июль_25!$A$3:$A$9</c:f>
              <c:strCache>
                <c:ptCount val="7"/>
                <c:pt idx="0">
                  <c:v>январь</c:v>
                </c:pt>
                <c:pt idx="1">
                  <c:v>январь-февраль</c:v>
                </c:pt>
                <c:pt idx="2">
                  <c:v>январь-март</c:v>
                </c:pt>
                <c:pt idx="3">
                  <c:v>январь-апрель</c:v>
                </c:pt>
                <c:pt idx="4">
                  <c:v>январь-май</c:v>
                </c:pt>
                <c:pt idx="5">
                  <c:v>январь-июнь</c:v>
                </c:pt>
                <c:pt idx="6">
                  <c:v>январь-июль</c:v>
                </c:pt>
              </c:strCache>
            </c:strRef>
          </c:cat>
          <c:val>
            <c:numRef>
              <c:f>Июль_25!$C$3:$C$9</c:f>
              <c:numCache>
                <c:formatCode>General</c:formatCode>
                <c:ptCount val="7"/>
                <c:pt idx="0" formatCode="General">
                  <c:v>108</c:v>
                </c:pt>
                <c:pt idx="1" formatCode="General">
                  <c:v>105.2</c:v>
                </c:pt>
                <c:pt idx="2" formatCode="General">
                  <c:v>105.9</c:v>
                </c:pt>
                <c:pt idx="3" formatCode="0.0">
                  <c:v>106.9</c:v>
                </c:pt>
                <c:pt idx="4" formatCode="General">
                  <c:v>108.1</c:v>
                </c:pt>
                <c:pt idx="5" formatCode="General">
                  <c:v>108.7</c:v>
                </c:pt>
                <c:pt idx="6" formatCode="General">
                  <c:v>109.4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axId val="1866169475"/>
        <c:axId val="1866169476"/>
      </c:barChart>
      <c:catAx>
        <c:axId val="1866169475"/>
        <c:scaling>
          <c:orientation val="minMax"/>
        </c:scaling>
        <c:delete val="0"/>
        <c:axPos val="l"/>
        <c:numFmt formatCode="General" sourceLinked="1"/>
        <c:majorTickMark val="cross"/>
        <c:minorTickMark val="cross"/>
        <c:tickLblPos val="nextTo"/>
        <c:spPr bwMode="auto">
          <a:prstGeom prst="rect">
            <a:avLst/>
          </a:prstGeom>
          <a:ln w="12700">
            <a:solidFill>
              <a:srgbClr val="D9D9D9"/>
            </a:solidFill>
            <a:prstDash val="solid"/>
          </a:ln>
        </c:spPr>
        <c:txPr>
          <a:bodyPr rot="0" vert="horz"/>
          <a:p>
            <a:pPr>
              <a:defRPr sz="900" b="0" i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/>
          </a:p>
        </c:txPr>
        <c:crossAx val="1866169476"/>
        <c:crosses val="autoZero"/>
        <c:auto val="0"/>
        <c:noMultiLvlLbl val="0"/>
      </c:catAx>
      <c:valAx>
        <c:axId val="1866169476"/>
        <c:scaling>
          <c:orientation val="minMax"/>
        </c:scaling>
        <c:delete val="0"/>
        <c:axPos val="b"/>
        <c:majorGridlines>
          <c:spPr bwMode="auto">
            <a:prstGeom prst="rect">
              <a:avLst/>
            </a:prstGeom>
            <a:ln w="12700">
              <a:solidFill>
                <a:srgbClr val="D9D9D9"/>
              </a:solidFill>
              <a:prstDash val="solid"/>
            </a:ln>
          </c:spPr>
        </c:majorGridlines>
        <c:numFmt formatCode="General" sourceLinked="1"/>
        <c:majorTickMark val="cross"/>
        <c:minorTickMark val="cross"/>
        <c:tickLblPos val="nextTo"/>
        <c:spPr bwMode="auto">
          <a:prstGeom prst="rect">
            <a:avLst/>
          </a:prstGeom>
          <a:ln w="3175">
            <a:noFill/>
          </a:ln>
        </c:spPr>
        <c:txPr>
          <a:bodyPr rot="0" vert="horz"/>
          <a:p>
            <a:pPr>
              <a:defRPr sz="900" b="0" i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/>
          </a:p>
        </c:txPr>
        <c:crossAx val="1866169475"/>
        <c:crosses val="autoZero"/>
        <c:crossBetween val="midCat"/>
      </c:valAx>
    </c:plotArea>
    <c:legend>
      <c:legendPos val="t"/>
      <c:layout>
        <c:manualLayout>
          <c:x val="-0.015430"/>
          <c:y val="0.917000"/>
        </c:manualLayout>
      </c:layout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900" b="0" i="0">
              <a:solidFill>
                <a:srgbClr val="595959"/>
              </a:solidFill>
              <a:latin typeface="Times New Roman"/>
              <a:ea typeface="Times New Roman"/>
              <a:cs typeface="Times New Roman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5553371" cy="2376450"/>
    </a:xfrm>
    <a:prstGeom prst="rect">
      <a:avLst/>
    </a:prstGeom>
    <a:ln w="12700">
      <a:solidFill>
        <a:srgbClr val="D9D9D9"/>
      </a:solidFill>
      <a:prstDash val="solid"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/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Июль_26!$A$19:$A$32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Июль_26!$B$19:$B$32</c:f>
              <c:numCache>
                <c:formatCode>General</c:formatCode>
                <c:ptCount val="14"/>
                <c:pt idx="0" formatCode="General">
                  <c:v>107.7</c:v>
                </c:pt>
                <c:pt idx="1" formatCode="0.0">
                  <c:v>111.9</c:v>
                </c:pt>
                <c:pt idx="2" formatCode="General">
                  <c:v>109.9</c:v>
                </c:pt>
                <c:pt idx="3" formatCode="0.0">
                  <c:v>107.1</c:v>
                </c:pt>
                <c:pt idx="4" formatCode="0.0">
                  <c:v>108.5</c:v>
                </c:pt>
                <c:pt idx="5" formatCode="0.0">
                  <c:v>106.8</c:v>
                </c:pt>
                <c:pt idx="6" formatCode="0.0">
                  <c:v>105.5</c:v>
                </c:pt>
                <c:pt idx="7" formatCode="0.0">
                  <c:v>106.2</c:v>
                </c:pt>
                <c:pt idx="8" formatCode="0.0">
                  <c:v>107.5</c:v>
                </c:pt>
                <c:pt idx="9" formatCode="0.0">
                  <c:v>109.3</c:v>
                </c:pt>
                <c:pt idx="10" formatCode="0.0">
                  <c:v>106.7</c:v>
                </c:pt>
                <c:pt idx="11" formatCode="0.0">
                  <c:v>104.1</c:v>
                </c:pt>
                <c:pt idx="12" formatCode="0.0">
                  <c:v>105.5</c:v>
                </c:pt>
                <c:pt idx="13" formatCode="General">
                  <c:v>109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smooth val="0"/>
        <c:axId val="1866169541"/>
        <c:axId val="1866169542"/>
      </c:lineChart>
      <c:catAx>
        <c:axId val="1866169541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42"/>
        <c:crosses val="autoZero"/>
        <c:auto val="0"/>
        <c:lblOffset val="100"/>
        <c:tickMarkSkip val="1"/>
        <c:noMultiLvlLbl val="0"/>
      </c:catAx>
      <c:valAx>
        <c:axId val="1866169542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41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zero"/>
    <c:showDLblsOverMax val="0"/>
  </c:chart>
  <c:spPr bwMode="auto">
    <a:xfrm>
      <a:off x="0" y="0"/>
      <a:ext cx="5780781" cy="2806551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view3D>
      <c:rotX val="15"/>
      <c:depthPercent val="100"/>
      <c:rAngAx val="1"/>
    </c:view3D>
    <c:floor/>
    <c:sideWall/>
    <c:backWall/>
    <c:plotArea>
      <c:layout/>
      <c:pie3DChart>
        <c:varyColors val="0"/>
        <c:ser>
          <c:idx val="0"/>
          <c:order val="0"/>
          <c:spPr bwMode="auto">
            <a:prstGeom prst="rect">
              <a:avLst/>
            </a:prstGeom>
            <a:noFill/>
            <a:ln w="3175">
              <a:noFill/>
            </a:ln>
          </c:spPr>
          <c:explosion val="0"/>
          <c:dPt>
            <c:idx val="0"/>
            <c:spPr bwMode="auto">
              <a:prstGeom prst="rect">
                <a:avLst/>
              </a:prstGeom>
              <a:solidFill>
                <a:srgbClr val="4472C4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A5A5A5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FFC000"/>
              </a:solidFill>
              <a:ln w="3175">
                <a:noFill/>
              </a:ln>
            </c:spPr>
          </c:dPt>
          <c:dLbls>
            <c:dLbl>
              <c:idx val="0"/>
              <c:layout>
                <c:manualLayout>
                  <c:x val="-0.041360"/>
                  <c:y val="0.11051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>
                <c:manualLayout>
                  <c:x val="-0.055750"/>
                  <c:y val="0.052000"/>
                </c:manualLayout>
              </c:layout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Июль_25!$A$46:$A$49</c:f>
              <c:strCache>
                <c:ptCount val="4"/>
                <c:pt idx="0">
                  <c:v xml:space="preserve">организации, не являющиеся субъектами малого и среднего предпринимательства;</c:v>
                </c:pt>
                <c:pt idx="1">
                  <c:v xml:space="preserve">субъекты среднего предпринимательства;</c:v>
                </c:pt>
                <c:pt idx="2">
                  <c:v xml:space="preserve">субъекты малого предпринимательства;</c:v>
                </c:pt>
                <c:pt idx="3">
                  <c:v xml:space="preserve">организации со средней численностью работников до 15 человек, не являющиеся субъектами малого предпринимательства;</c:v>
                </c:pt>
              </c:strCache>
            </c:strRef>
          </c:cat>
          <c:val>
            <c:numRef>
              <c:f>Июль_25!$B$46:$B$49</c:f>
              <c:numCache>
                <c:formatCode>0.0</c:formatCode>
                <c:ptCount val="4"/>
                <c:pt idx="0">
                  <c:v>48.5</c:v>
                </c:pt>
                <c:pt idx="1">
                  <c:v>18</c:v>
                </c:pt>
                <c:pt idx="2">
                  <c:v>33.4</c:v>
                </c:pt>
                <c:pt idx="3">
                  <c:v>0.1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</c:pie3DChart>
    </c:plotArea>
    <c:legend>
      <c:legendPos val="t"/>
      <c:layout/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900" b="0" i="0">
              <a:solidFill>
                <a:srgbClr val="595959"/>
              </a:solidFill>
              <a:latin typeface="Times New Roman"/>
              <a:ea typeface="Times New Roman"/>
              <a:cs typeface="Times New Roman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5296239" cy="2930451"/>
    </a:xfrm>
    <a:prstGeom prst="rect">
      <a:avLst/>
    </a:prstGeom>
    <a:ln w="12700">
      <a:solidFill>
        <a:srgbClr val="D9D9D9"/>
      </a:solidFill>
      <a:prstDash val="solid"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view3D>
      <c:rotX val="15"/>
      <c:depthPercent val="100"/>
      <c:rAngAx val="1"/>
    </c:view3D>
    <c:floor/>
    <c:sideWall/>
    <c:backWall/>
    <c:plotArea>
      <c:layout/>
      <c:pie3DChart>
        <c:varyColors val="0"/>
        <c:ser>
          <c:idx val="0"/>
          <c:order val="0"/>
          <c:spPr bwMode="auto">
            <a:prstGeom prst="rect">
              <a:avLst/>
            </a:prstGeom>
            <a:noFill/>
            <a:ln w="3175">
              <a:noFill/>
            </a:ln>
          </c:spPr>
          <c:explosion val="0"/>
          <c:dPt>
            <c:idx val="0"/>
            <c:spPr bwMode="auto">
              <a:prstGeom prst="rect">
                <a:avLst/>
              </a:prstGeom>
              <a:solidFill>
                <a:srgbClr val="4472C4"/>
              </a:solidFill>
              <a:ln w="3175"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rgbClr val="ED7D31"/>
              </a:solidFill>
              <a:ln w="3175"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rgbClr val="A5A5A5"/>
              </a:solidFill>
              <a:ln w="3175"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rgbClr val="FFC000"/>
              </a:solidFill>
              <a:ln w="3175">
                <a:noFill/>
              </a:ln>
            </c:spPr>
          </c:dPt>
          <c:dLbls>
            <c:dLbl>
              <c:idx val="0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1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2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dLbl>
              <c:idx val="3"/>
              <c:layout/>
              <c:separator xml:space="preserve">; </c:separator>
              <c:showBubbleSize val="0"/>
              <c:showCatName val="0"/>
              <c:showLegendKey val="0"/>
              <c:showPercent val="0"/>
              <c:showSerName val="0"/>
              <c:showVal val="1"/>
              <c:txPr>
                <a:bodyPr rot="0" vert="horz"/>
                <a:lstStyle/>
                <a:p>
                  <a:pPr>
                    <a:defRPr/>
                  </a:pPr>
                  <a:endParaRPr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</c:dLbls>
          <c:cat>
            <c:strRef>
              <c:f>Июль_26!$A$66:$A$69</c:f>
              <c:strCache>
                <c:ptCount val="4"/>
                <c:pt idx="0">
                  <c:v xml:space="preserve">организации, не являющиеся субъектами малого и среднего предпринимательства;</c:v>
                </c:pt>
                <c:pt idx="1">
                  <c:v xml:space="preserve">субъекты среднего предпринимательства;</c:v>
                </c:pt>
                <c:pt idx="2">
                  <c:v xml:space="preserve">субъекты малого предпринимательства;</c:v>
                </c:pt>
                <c:pt idx="3">
                  <c:v xml:space="preserve">организации со среднесписочной численностью работников до 15 человек, не являющиеся субъектами малого предпринимательства;</c:v>
                </c:pt>
              </c:strCache>
            </c:strRef>
          </c:cat>
          <c:val>
            <c:numRef>
              <c:f>Июль_26!$B$66:$B$69</c:f>
              <c:numCache>
                <c:formatCode>0.0</c:formatCode>
                <c:ptCount val="4"/>
                <c:pt idx="0">
                  <c:v>55.8</c:v>
                </c:pt>
                <c:pt idx="1">
                  <c:v>3.9</c:v>
                </c:pt>
                <c:pt idx="2">
                  <c:v>40.1</c:v>
                </c:pt>
                <c:pt idx="3">
                  <c:v>0.2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</c:pie3DChart>
    </c:plotArea>
    <c:legend>
      <c:legendPos val="t"/>
      <c:layout/>
      <c:overlay val="0"/>
      <c:spPr bwMode="auto">
        <a:prstGeom prst="rect">
          <a:avLst/>
        </a:prstGeom>
        <a:noFill/>
        <a:ln w="3175">
          <a:noFill/>
        </a:ln>
      </c:spPr>
      <c:txPr>
        <a:bodyPr rot="0" vert="horz"/>
        <a:lstStyle/>
        <a:p>
          <a:pPr>
            <a:defRPr sz="900" b="0" i="0">
              <a:solidFill>
                <a:srgbClr val="595959"/>
              </a:solidFill>
              <a:latin typeface="Times New Roman"/>
              <a:ea typeface="Times New Roman"/>
              <a:cs typeface="Times New Roman"/>
            </a:defRPr>
          </a:pPr>
          <a:endParaRPr/>
        </a:p>
      </c:txPr>
    </c:legend>
    <c:plotVisOnly val="1"/>
    <c:dispBlanksAs val="zero"/>
    <c:showDLblsOverMax val="0"/>
  </c:chart>
  <c:spPr bwMode="auto">
    <a:xfrm>
      <a:off x="0" y="0"/>
      <a:ext cx="4960620" cy="3371371"/>
    </a:xfrm>
    <a:prstGeom prst="rect">
      <a:avLst/>
    </a:prstGeom>
    <a:ln w="12700">
      <a:solidFill>
        <a:srgbClr val="D9D9D9"/>
      </a:solidFill>
      <a:prstDash val="solid"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/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Июль_26!$A$87:$A$100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Июль_26!$B$87:$B$100</c:f>
              <c:numCache>
                <c:formatCode>0.0</c:formatCode>
                <c:ptCount val="14"/>
                <c:pt idx="0">
                  <c:v>116.4</c:v>
                </c:pt>
                <c:pt idx="1">
                  <c:v>115.6</c:v>
                </c:pt>
                <c:pt idx="2">
                  <c:v>86.6</c:v>
                </c:pt>
                <c:pt idx="3">
                  <c:v>111.9</c:v>
                </c:pt>
                <c:pt idx="4">
                  <c:v>111.1</c:v>
                </c:pt>
                <c:pt idx="5">
                  <c:v>75.8</c:v>
                </c:pt>
                <c:pt idx="6">
                  <c:v>93.7</c:v>
                </c:pt>
                <c:pt idx="7">
                  <c:v>105.3</c:v>
                </c:pt>
                <c:pt idx="8">
                  <c:v>106.7</c:v>
                </c:pt>
                <c:pt idx="9">
                  <c:v>92.7</c:v>
                </c:pt>
                <c:pt idx="10">
                  <c:v>85.8</c:v>
                </c:pt>
                <c:pt idx="11">
                  <c:v>111.1</c:v>
                </c:pt>
                <c:pt idx="12">
                  <c:v>102.3</c:v>
                </c:pt>
                <c:pt idx="13">
                  <c:v>104.9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smooth val="0"/>
        <c:axId val="1866169543"/>
        <c:axId val="1866169544"/>
      </c:lineChart>
      <c:catAx>
        <c:axId val="1866169543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44"/>
        <c:crosses val="autoZero"/>
        <c:auto val="0"/>
        <c:lblOffset val="100"/>
        <c:tickMarkSkip val="1"/>
        <c:noMultiLvlLbl val="0"/>
      </c:catAx>
      <c:valAx>
        <c:axId val="1866169544"/>
        <c:scaling>
          <c:orientation val="minMax"/>
          <c:min val="60.000000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0.0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43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zero"/>
    <c:showDLblsOverMax val="0"/>
  </c:chart>
  <c:spPr bwMode="auto">
    <a:xfrm>
      <a:off x="0" y="0"/>
      <a:ext cx="5252142" cy="3278682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plotArea>
      <c:layout/>
      <c:lineChart>
        <c:grouping val="standar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circle"/>
            <c:size val="5"/>
            <c:spPr bwMode="auto">
              <a:prstGeom prst="rect">
                <a:avLst/>
              </a:prstGeom>
              <a:solidFill>
                <a:schemeClr val="accent1"/>
              </a:solidFill>
              <a:ln/>
            </c:spPr>
          </c:marker>
          <c:dLbls>
            <c:dLblPos val="t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Июль_26!$A$105:$A$118</c:f>
              <c:strCache>
                <c:ptCount val="14"/>
                <c:pt idx="0">
                  <c:v xml:space="preserve">Республика Мордовия</c:v>
                </c:pt>
                <c:pt idx="1">
                  <c:v xml:space="preserve">Республика Башкортостан</c:v>
                </c:pt>
                <c:pt idx="2">
                  <c:v xml:space="preserve">Республика Марий Эл</c:v>
                </c:pt>
                <c:pt idx="3">
                  <c:v xml:space="preserve">Республика Татарстан</c:v>
                </c:pt>
                <c:pt idx="4">
                  <c:v xml:space="preserve">Удмуртская Республика</c:v>
                </c:pt>
                <c:pt idx="5">
                  <c:v xml:space="preserve">Чувашская Республика</c:v>
                </c:pt>
                <c:pt idx="6">
                  <c:v xml:space="preserve">Кировская область</c:v>
                </c:pt>
                <c:pt idx="7">
                  <c:v xml:space="preserve">Нижегородская область</c:v>
                </c:pt>
                <c:pt idx="8">
                  <c:v xml:space="preserve">Оренбургская область</c:v>
                </c:pt>
                <c:pt idx="9">
                  <c:v xml:space="preserve">Пензенская область</c:v>
                </c:pt>
                <c:pt idx="10">
                  <c:v xml:space="preserve">Пермский край</c:v>
                </c:pt>
                <c:pt idx="11">
                  <c:v xml:space="preserve">Самарская область</c:v>
                </c:pt>
                <c:pt idx="12">
                  <c:v xml:space="preserve">Саратовская область</c:v>
                </c:pt>
                <c:pt idx="13">
                  <c:v xml:space="preserve">Ульяновская область</c:v>
                </c:pt>
              </c:strCache>
            </c:strRef>
          </c:cat>
          <c:val>
            <c:numRef>
              <c:f>Июль_26!$B$105:$B$118</c:f>
              <c:numCache>
                <c:formatCode>General</c:formatCode>
                <c:ptCount val="14"/>
                <c:pt idx="0" formatCode="0.0">
                  <c:v>99.6</c:v>
                </c:pt>
                <c:pt idx="1" formatCode="General">
                  <c:v>103</c:v>
                </c:pt>
                <c:pt idx="2" formatCode="General">
                  <c:v>114.1</c:v>
                </c:pt>
                <c:pt idx="3" formatCode="0.0">
                  <c:v>107.7</c:v>
                </c:pt>
                <c:pt idx="4" formatCode="0.0">
                  <c:v>101.7</c:v>
                </c:pt>
                <c:pt idx="5" formatCode="0.0">
                  <c:v>106.5</c:v>
                </c:pt>
                <c:pt idx="6" formatCode="0.0">
                  <c:v>101.3</c:v>
                </c:pt>
                <c:pt idx="7" formatCode="General">
                  <c:v>103.6</c:v>
                </c:pt>
                <c:pt idx="8" formatCode="0.0">
                  <c:v>110.6</c:v>
                </c:pt>
                <c:pt idx="9" formatCode="General">
                  <c:v>99.3</c:v>
                </c:pt>
                <c:pt idx="10" formatCode="0.0">
                  <c:v>95.9</c:v>
                </c:pt>
                <c:pt idx="11" formatCode="0.0">
                  <c:v>103.5</c:v>
                </c:pt>
                <c:pt idx="12" formatCode="0.0">
                  <c:v>111.6</c:v>
                </c:pt>
                <c:pt idx="13" formatCode="0.0">
                  <c:v>106.7</c:v>
                </c:pt>
              </c:numCache>
            </c:numRef>
          </c:val>
          <c:smooth val="1"/>
        </c:ser>
        <c:dLbls>
          <c:dLblPos val="t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smooth val="0"/>
        <c:axId val="1866169529"/>
        <c:axId val="1866169530"/>
      </c:lineChart>
      <c:catAx>
        <c:axId val="1866169529"/>
        <c:scaling>
          <c:orientation val="minMax"/>
        </c:scaling>
        <c:delete val="0"/>
        <c:axPos val="b"/>
        <c:numFmt formatCode="General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30"/>
        <c:crosses val="autoZero"/>
        <c:auto val="0"/>
        <c:lblOffset val="100"/>
        <c:tickMarkSkip val="1"/>
        <c:noMultiLvlLbl val="0"/>
      </c:catAx>
      <c:valAx>
        <c:axId val="1866169530"/>
        <c:scaling>
          <c:orientation val="minMax"/>
          <c:min val="60.000000"/>
        </c:scaling>
        <c:delete val="0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0.0" sourceLinked="1"/>
        <c:majorTickMark val="none"/>
        <c:minorTickMark val="cross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 rot="0" vert="horz"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29"/>
        <c:crosses val="autoZero"/>
        <c:crossBetween val="midCat"/>
      </c:valAx>
      <c:spPr bwMode="auto">
        <a:prstGeom prst="rect">
          <a:avLst/>
        </a:prstGeom>
        <a:noFill/>
        <a:ln>
          <a:noFill/>
        </a:ln>
      </c:spPr>
    </c:plotArea>
    <c:legend>
      <c:legendPos val="b"/>
      <c:legendEntry>
        <c:idx val="0"/>
        <c:delete val="1"/>
      </c:legendEntry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 bwMode="auto">
    <a:xfrm>
      <a:off x="0" y="0"/>
      <a:ext cx="5764552" cy="2864383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view3D>
      <c:rotX val="3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/>
      </c:layout>
      <c:pie3DChart>
        <c:varyColors val="1"/>
        <c:ser>
          <c:idx val="0"/>
          <c:order val="0"/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 w="19050">
                <a:solidFill>
                  <a:schemeClr val="lt1"/>
                </a:solidFill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</c:dPt>
          <c:dPt>
            <c:idx val="4"/>
            <c:spPr bwMode="auto"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</c:dPt>
          <c:dLbls>
            <c:dLbl>
              <c:idx val="0"/>
              <c:dLblPos val="ctr"/>
              <c:layout>
                <c:manualLayout>
                  <c:x val="0.042410"/>
                  <c:y val="-0.00796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>
                <c:manualLayout>
                  <c:x val="0.063610"/>
                  <c:y val="0.00531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3"/>
              <c:dLblPos val="ctr"/>
              <c:layout>
                <c:manualLayout>
                  <c:x val="-0.032620"/>
                  <c:y val="-0.01328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4"/>
              <c:dLblPos val="ctr"/>
              <c:layout>
                <c:manualLayout>
                  <c:x val="-0.004890"/>
                  <c:y val="-0.04780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1000" b="1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Июль_26!$A$128:$A$132</c:f>
              <c:strCache>
                <c:ptCount val="5"/>
                <c:pt idx="0">
                  <c:v xml:space="preserve">малые предприятия (без микропредприятий)</c:v>
                </c:pt>
                <c:pt idx="1">
                  <c:v xml:space="preserve">организации, не относящиеся к субъектам малого предпринимательства</c:v>
                </c:pt>
                <c:pt idx="2">
                  <c:v xml:space="preserve">индивидуальные предприниматели, осуществляющие свою деятельность в общественном питании</c:v>
                </c:pt>
                <c:pt idx="3">
                  <c:v>микропредприятия</c:v>
                </c:pt>
                <c:pt idx="4">
                  <c:v>самозанятые</c:v>
                </c:pt>
              </c:strCache>
            </c:strRef>
          </c:cat>
          <c:val>
            <c:numRef>
              <c:f>Июль_26!$B$128:$B$132</c:f>
              <c:numCache>
                <c:formatCode>General</c:formatCode>
                <c:ptCount val="5"/>
                <c:pt idx="0" formatCode="0.0">
                  <c:v>14.3</c:v>
                </c:pt>
                <c:pt idx="1" formatCode="0.0">
                  <c:v>14.4</c:v>
                </c:pt>
                <c:pt idx="2" formatCode="0.0">
                  <c:v>56.3</c:v>
                </c:pt>
                <c:pt idx="3" formatCode="0.0">
                  <c:v>12.3</c:v>
                </c:pt>
                <c:pt idx="4" formatCode="General">
                  <c:v>2.7</c:v>
                </c:pt>
              </c:numCache>
            </c:numRef>
          </c:val>
        </c:ser>
        <c:dLbls>
          <c:dLblPos val="ctr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5839270" cy="3012852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9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Е. Мироненко</dc:creator>
  <dc:description/>
  <dc:language>ru-RU</dc:language>
  <cp:lastModifiedBy>bogacheva_as</cp:lastModifiedBy>
  <cp:revision>12</cp:revision>
  <dcterms:created xsi:type="dcterms:W3CDTF">2026-03-13T08:18:00Z</dcterms:created>
  <dcterms:modified xsi:type="dcterms:W3CDTF">2026-09-22T12:37:40Z</dcterms:modified>
</cp:coreProperties>
</file>