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charts/chart7.xml" ContentType="application/vnd.openxmlformats-officedocument.drawingml.chart+xml"/>
  <Override PartName="/word/charts/chart6.xml" ContentType="application/vnd.openxmlformats-officedocument.drawingml.chart+xml"/>
  <Override PartName="/word/charts/chart5.xml" ContentType="application/vnd.openxmlformats-officedocument.drawingml.chart+xml"/>
  <Override PartName="/word/charts/chart2.xml" ContentType="application/vnd.openxmlformats-officedocument.drawingml.chart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3.xml" ContentType="application/vnd.openxmlformats-officedocument.drawingml.chart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harts/chart4.xml" ContentType="application/vnd.openxmlformats-officedocument.drawingml.chart+xml"/>
  <Override PartName="/word/settings.xml" ContentType="application/vnd.openxmlformats-officedocument.wordprocessingml.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contextualSpacing/>
        <w:jc w:val="center"/>
        <w:spacing w:beforeAutospacing="0" w:afterAutospacing="0"/>
        <w:rPr>
          <w:sz w:val="32"/>
        </w:rPr>
      </w:pPr>
      <w:r>
        <w:rPr>
          <w:sz w:val="32"/>
        </w:rPr>
        <w:t xml:space="preserve">О состоянии потребительского рынка Республики Мордовия </w:t>
      </w:r>
      <w:r>
        <w:rPr>
          <w:sz w:val="32"/>
        </w:rPr>
      </w:r>
      <w:r>
        <w:rPr>
          <w:sz w:val="32"/>
        </w:rPr>
      </w:r>
    </w:p>
    <w:p>
      <w:pPr>
        <w:pStyle w:val="815"/>
        <w:contextualSpacing/>
        <w:jc w:val="center"/>
        <w:spacing w:beforeAutospacing="0" w:afterAutospacing="0"/>
        <w:rPr>
          <w:sz w:val="32"/>
        </w:rPr>
      </w:pPr>
      <w:r>
        <w:rPr>
          <w:sz w:val="32"/>
        </w:rPr>
        <w:t xml:space="preserve">за январь-июнь 2026</w:t>
      </w:r>
      <w:r>
        <w:rPr>
          <w:sz w:val="32"/>
        </w:rPr>
        <w:t xml:space="preserve"> года</w:t>
      </w:r>
      <w:r>
        <w:rPr>
          <w:sz w:val="32"/>
        </w:rPr>
      </w:r>
      <w:r>
        <w:rPr>
          <w:sz w:val="32"/>
        </w:rPr>
      </w:r>
    </w:p>
    <w:p>
      <w:pPr>
        <w:pStyle w:val="815"/>
        <w:contextualSpacing/>
        <w:spacing w:beforeAutospacing="0" w:afterAutospacing="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5"/>
        <w:contextualSpacing/>
        <w:ind w:firstLine="720"/>
        <w:jc w:val="both"/>
        <w:spacing w:beforeAutospacing="0" w:afterAutospacing="0"/>
        <w:rPr>
          <w:sz w:val="28"/>
        </w:rPr>
      </w:pPr>
      <w:r>
        <w:rPr>
          <w:sz w:val="28"/>
        </w:rPr>
        <w:t xml:space="preserve">За январь-июнь 2026</w:t>
      </w:r>
      <w:r>
        <w:rPr>
          <w:sz w:val="28"/>
        </w:rPr>
        <w:t xml:space="preserve"> года населению республики продано потребительских товаров через все каналы реализации на сумму                                                  </w:t>
      </w:r>
      <w:r>
        <w:rPr>
          <w:b/>
          <w:bCs/>
          <w:sz w:val="28"/>
        </w:rPr>
        <w:t xml:space="preserve">135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504</w:t>
      </w:r>
      <w:r>
        <w:rPr>
          <w:b/>
          <w:bCs/>
          <w:sz w:val="28"/>
        </w:rPr>
        <w:t xml:space="preserve">,9</w:t>
      </w:r>
      <w:r>
        <w:rPr>
          <w:b/>
          <w:bCs/>
          <w:sz w:val="28"/>
        </w:rPr>
        <w:t xml:space="preserve"> </w:t>
      </w:r>
      <w:r>
        <w:rPr>
          <w:b/>
          <w:sz w:val="28"/>
        </w:rPr>
        <w:t xml:space="preserve">млн. рублей</w:t>
      </w:r>
      <w:r>
        <w:rPr>
          <w:sz w:val="28"/>
        </w:rPr>
        <w:t xml:space="preserve">, что в товарной массе на </w:t>
      </w:r>
      <w:r>
        <w:rPr>
          <w:b/>
          <w:bCs/>
          <w:sz w:val="28"/>
        </w:rPr>
        <w:t xml:space="preserve">8,1</w:t>
      </w:r>
      <w:r>
        <w:rPr>
          <w:b/>
          <w:bCs/>
          <w:sz w:val="28"/>
        </w:rPr>
        <w:t xml:space="preserve"> </w:t>
      </w:r>
      <w:r>
        <w:rPr>
          <w:sz w:val="28"/>
        </w:rPr>
        <w:t xml:space="preserve">процента больше</w:t>
      </w:r>
      <w:r>
        <w:rPr>
          <w:sz w:val="28"/>
        </w:rPr>
        <w:t xml:space="preserve">, чем за аналогичный период 2025</w:t>
      </w:r>
      <w:r>
        <w:rPr>
          <w:sz w:val="28"/>
        </w:rPr>
        <w:t xml:space="preserve"> года. </w:t>
      </w:r>
      <w:r>
        <w:rPr>
          <w:sz w:val="28"/>
        </w:rPr>
      </w:r>
      <w:r>
        <w:rPr>
          <w:sz w:val="28"/>
        </w:rPr>
      </w:r>
    </w:p>
    <w:p>
      <w:pPr>
        <w:pStyle w:val="885"/>
        <w:contextualSpacing/>
        <w:ind w:firstLine="720"/>
        <w:jc w:val="both"/>
        <w:spacing w:beforeAutospacing="0" w:afterAutospacing="0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85"/>
        <w:contextualSpacing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  <w:t xml:space="preserve">Индексы физического объема оборота розничной торговли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contextualSpacing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  <w:t xml:space="preserve">за 2025 – 2026</w:t>
      </w:r>
      <w:r>
        <w:rPr>
          <w:b/>
          <w:sz w:val="28"/>
        </w:rPr>
        <w:t xml:space="preserve"> гг.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contextualSpacing/>
        <w:ind w:firstLine="720"/>
        <w:jc w:val="center"/>
        <w:spacing w:beforeAutospacing="0" w:afterAutospacing="0"/>
      </w:pPr>
      <w:r>
        <w:t xml:space="preserve">(в процентах к соответствующему периоду предыдущего года)</w:t>
      </w:r>
      <w:r/>
    </w:p>
    <w:p>
      <w:pPr>
        <w:pStyle w:val="885"/>
        <w:jc w:val="center"/>
        <w:rPr>
          <w:sz w:val="28"/>
        </w:rPr>
      </w:pPr>
      <w:r>
        <w:rPr>
          <w:lang w:eastAsia="ru-RU" w:bidi="ar-SA"/>
        </w:rPr>
      </w:r>
      <w:r/>
      <w:r>
        <w:rPr>
          <w:sz w:val="28"/>
        </w:rPr>
      </w:r>
      <w:r>
        <w:drawing>
          <wp:inline distT="0" distB="0" distL="0" distR="0">
            <wp:extent cx="5495155" cy="2149519"/>
            <wp:effectExtent l="4681" t="4681" r="4681" b="4681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sz w:val="28"/>
        </w:rPr>
      </w:r>
      <w:r>
        <w:rPr>
          <w:sz w:val="28"/>
        </w:rPr>
      </w:r>
    </w:p>
    <w:p>
      <w:pPr>
        <w:pStyle w:val="885"/>
        <w:ind w:firstLine="709"/>
        <w:jc w:val="both"/>
        <w:spacing w:beforeAutospacing="0" w:afterAutospacing="0"/>
      </w:pPr>
      <w:r>
        <w:rPr>
          <w:sz w:val="28"/>
        </w:rPr>
        <w:t xml:space="preserve">Оборот розничной торговли на </w:t>
      </w:r>
      <w:r>
        <w:rPr>
          <w:b/>
          <w:sz w:val="28"/>
        </w:rPr>
        <w:t xml:space="preserve">96,2</w:t>
      </w:r>
      <w:r>
        <w:rPr>
          <w:b/>
          <w:sz w:val="28"/>
        </w:rPr>
        <w:t xml:space="preserve">%</w:t>
      </w:r>
      <w:r>
        <w:rPr>
          <w:sz w:val="28"/>
        </w:rPr>
        <w:t xml:space="preserve"> формировался торгующими организациями и индивидуальными предпринимателями, реализующими товары вне рынка, доля продажи на рынках и ярмарках составила                          </w:t>
      </w:r>
      <w:r>
        <w:rPr>
          <w:b/>
          <w:sz w:val="28"/>
        </w:rPr>
        <w:t xml:space="preserve">3,8</w:t>
      </w:r>
      <w:r>
        <w:rPr>
          <w:b/>
          <w:sz w:val="28"/>
        </w:rPr>
        <w:t xml:space="preserve">%</w:t>
      </w:r>
      <w:r>
        <w:rPr>
          <w:sz w:val="28"/>
        </w:rPr>
        <w:t xml:space="preserve"> (в а</w:t>
      </w:r>
      <w:r>
        <w:rPr>
          <w:sz w:val="28"/>
        </w:rPr>
        <w:t xml:space="preserve">налогичном периоде 2025 г. – 3,8</w:t>
      </w:r>
      <w:r>
        <w:rPr>
          <w:sz w:val="28"/>
        </w:rPr>
        <w:t xml:space="preserve"> процента). </w:t>
      </w:r>
      <w:r/>
    </w:p>
    <w:p>
      <w:pPr>
        <w:pStyle w:val="885"/>
        <w:ind w:firstLine="720"/>
        <w:jc w:val="both"/>
        <w:spacing w:beforeAutospacing="0" w:afterAutospacing="0"/>
        <w:rPr>
          <w:b/>
          <w:sz w:val="28"/>
        </w:rPr>
      </w:pPr>
      <w:r>
        <w:rPr>
          <w:sz w:val="28"/>
        </w:rPr>
        <w:t xml:space="preserve">По индексу физического объема оборота розничной торговли среди регионов ПФО Республика Мордовия занимает </w:t>
      </w:r>
      <w:r>
        <w:rPr>
          <w:b/>
          <w:bCs/>
          <w:sz w:val="28"/>
        </w:rPr>
        <w:t xml:space="preserve">6</w:t>
      </w:r>
      <w:r>
        <w:rPr>
          <w:b/>
          <w:bCs/>
          <w:sz w:val="28"/>
        </w:rPr>
        <w:t xml:space="preserve"> </w:t>
      </w:r>
      <w:r>
        <w:rPr>
          <w:b/>
          <w:sz w:val="28"/>
        </w:rPr>
        <w:t xml:space="preserve">место</w:t>
      </w:r>
      <w:r>
        <w:rPr>
          <w:sz w:val="28"/>
        </w:rPr>
        <w:t xml:space="preserve"> (темп роста – </w:t>
      </w:r>
      <w:r>
        <w:rPr>
          <w:b/>
          <w:sz w:val="28"/>
        </w:rPr>
        <w:t xml:space="preserve">108,1 </w:t>
      </w:r>
      <w:r>
        <w:rPr>
          <w:b/>
          <w:sz w:val="28"/>
        </w:rPr>
        <w:t xml:space="preserve">процент).</w:t>
      </w:r>
      <w:r>
        <w:rPr>
          <w:b/>
          <w:sz w:val="28"/>
        </w:rPr>
        <w:t xml:space="preserve">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ind w:firstLine="0"/>
        <w:jc w:val="both"/>
        <w:spacing w:beforeAutospacing="0" w:afterAutospacing="0"/>
        <w:rPr>
          <w:shd w:val="clear" w:color="auto" w:fill="ffff00"/>
        </w:rPr>
      </w:pPr>
      <w:r>
        <w:rPr>
          <w:shd w:val="clear" w:color="auto" w:fill="ffff00"/>
        </w:rPr>
      </w:r>
      <w:r>
        <w:rPr>
          <w:shd w:val="clear" w:color="auto" w:fill="ffff00"/>
        </w:rPr>
      </w:r>
      <w:r>
        <w:rPr>
          <w:shd w:val="clear" w:color="auto" w:fill="ffff00"/>
        </w:rPr>
      </w:r>
    </w:p>
    <w:p>
      <w:pPr>
        <w:pStyle w:val="885"/>
        <w:jc w:val="center"/>
        <w:spacing w:beforeAutospacing="0" w:afterAutospacing="0"/>
        <w:rPr>
          <w:highlight w:val="none"/>
          <w:lang w:eastAsia="ru-RU" w:bidi="ar-SA"/>
        </w:rPr>
      </w:pPr>
      <w:r>
        <w:rPr>
          <w:b/>
          <w:sz w:val="28"/>
        </w:rPr>
        <w:t xml:space="preserve">Оборот розничной торго</w:t>
      </w:r>
      <w:r>
        <w:rPr>
          <w:b/>
          <w:sz w:val="28"/>
        </w:rPr>
        <w:t xml:space="preserve">вли по регионам ПФО в январе-июне 2026</w:t>
      </w:r>
      <w:r>
        <w:rPr>
          <w:b/>
          <w:sz w:val="28"/>
        </w:rPr>
        <w:t xml:space="preserve"> г.</w:t>
      </w:r>
      <w:r>
        <w:rPr>
          <w:highlight w:val="none"/>
          <w:lang w:eastAsia="ru-RU" w:bidi="ar-SA"/>
        </w:rPr>
      </w:r>
      <w:r>
        <w:rPr>
          <w:highlight w:val="none"/>
          <w:lang w:eastAsia="ru-RU" w:bidi="ar-SA"/>
        </w:rPr>
      </w:r>
    </w:p>
    <w:p>
      <w:pPr>
        <w:pStyle w:val="885"/>
        <w:jc w:val="center"/>
        <w:spacing w:beforeAutospacing="0" w:afterAutospacing="0"/>
        <w:rPr>
          <w:lang w:eastAsia="ru-RU" w:bidi="ar-SA"/>
        </w:rPr>
      </w:pPr>
      <w:r>
        <w:rPr>
          <w:highlight w:val="none"/>
          <w:lang w:eastAsia="ru-RU" w:bidi="ar-SA"/>
        </w:rPr>
      </w:r>
      <w:r>
        <w:rPr>
          <w:lang w:eastAsia="ru-RU" w:bidi="ar-SA"/>
        </w:rPr>
      </w:r>
      <w:r>
        <w:rPr>
          <w:lang w:eastAsia="ru-RU" w:bidi="ar-SA"/>
        </w:rPr>
      </w:r>
    </w:p>
    <w:p>
      <w:pPr>
        <w:pStyle w:val="885"/>
        <w:jc w:val="center"/>
        <w:spacing w:beforeAutospacing="0" w:afterAutospacing="0"/>
        <w:rPr>
          <w:b/>
          <w:sz w:val="28"/>
        </w:rPr>
      </w:pPr>
      <w:r>
        <w:rPr>
          <w:lang w:eastAsia="ru-RU" w:bidi="ar-SA"/>
        </w:rPr>
      </w:r>
      <w:r/>
      <w:r>
        <w:rPr>
          <w:b/>
          <w:sz w:val="28"/>
        </w:rPr>
      </w:r>
      <w:r>
        <w:drawing>
          <wp:inline distT="0" distB="0" distL="0" distR="0">
            <wp:extent cx="5938273" cy="2746152"/>
            <wp:effectExtent l="4762" t="4762" r="4762" b="4762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ind w:firstLine="709"/>
        <w:jc w:val="both"/>
        <w:spacing w:beforeAutospacing="0" w:afterAutospacing="0"/>
      </w:pPr>
      <w:r>
        <w:rPr>
          <w:sz w:val="28"/>
        </w:rPr>
        <w:t xml:space="preserve">За </w:t>
      </w:r>
      <w:r>
        <w:rPr>
          <w:sz w:val="28"/>
        </w:rPr>
        <w:t xml:space="preserve">январь-июнь </w:t>
      </w:r>
      <w:r>
        <w:rPr>
          <w:sz w:val="28"/>
        </w:rPr>
        <w:t xml:space="preserve">2026</w:t>
      </w:r>
      <w:r>
        <w:rPr>
          <w:sz w:val="28"/>
        </w:rPr>
        <w:t xml:space="preserve"> года пищевых продуктов, включая напитки, и табачных изделий, продано населению на</w:t>
      </w:r>
      <w:r>
        <w:rPr>
          <w:b/>
          <w:sz w:val="28"/>
        </w:rPr>
        <w:t xml:space="preserve"> 59 </w:t>
      </w:r>
      <w:r>
        <w:rPr>
          <w:b/>
          <w:sz w:val="28"/>
        </w:rPr>
        <w:t xml:space="preserve">891</w:t>
      </w:r>
      <w:r>
        <w:rPr>
          <w:b/>
          <w:sz w:val="28"/>
        </w:rPr>
        <w:t xml:space="preserve">,1</w:t>
      </w:r>
      <w:r>
        <w:rPr>
          <w:b/>
          <w:sz w:val="28"/>
        </w:rPr>
        <w:t xml:space="preserve"> млн. рублей,</w:t>
      </w:r>
      <w:r>
        <w:rPr>
          <w:sz w:val="28"/>
        </w:rPr>
        <w:t xml:space="preserve"> что в сопоставимых ценах на </w:t>
      </w:r>
      <w:r>
        <w:rPr>
          <w:b/>
          <w:bCs/>
          <w:sz w:val="28"/>
        </w:rPr>
        <w:t xml:space="preserve">7,6</w:t>
      </w:r>
      <w:r>
        <w:rPr>
          <w:b/>
          <w:sz w:val="28"/>
        </w:rPr>
        <w:t xml:space="preserve">% </w:t>
      </w:r>
      <w:r>
        <w:rPr>
          <w:sz w:val="28"/>
        </w:rPr>
        <w:t xml:space="preserve">больше продажи аналогичного периода предыдущего года. В структуре оборота розничной торговли их удельный вес составил </w:t>
      </w:r>
      <w:r>
        <w:rPr>
          <w:b/>
          <w:sz w:val="28"/>
        </w:rPr>
        <w:t xml:space="preserve">44,2</w:t>
      </w:r>
      <w:r>
        <w:rPr>
          <w:b/>
          <w:sz w:val="28"/>
        </w:rPr>
        <w:t xml:space="preserve"> процента.</w:t>
      </w:r>
      <w:r/>
    </w:p>
    <w:p>
      <w:pPr>
        <w:pStyle w:val="885"/>
        <w:ind w:firstLine="720"/>
        <w:jc w:val="both"/>
        <w:spacing w:beforeAutospacing="0" w:afterAutospacing="0"/>
        <w:rPr>
          <w:sz w:val="28"/>
        </w:rPr>
      </w:pPr>
      <w:r>
        <w:rPr>
          <w:sz w:val="28"/>
        </w:rPr>
        <w:t xml:space="preserve">В товарной структуре розничной торговли пищевыми продуктами пред</w:t>
      </w:r>
      <w:r>
        <w:rPr>
          <w:sz w:val="28"/>
        </w:rPr>
        <w:t xml:space="preserve">приятий, не относящихся к субъектам малого предпринимательства, преобладают молочные продукты, продукты из мяса, кондитерские изделия, свежие фрукты, свежие овощи, мясо домашней птицы, рыба и морепродукты, яйцо птицы, а также хлеб и хлебобулочные изделия. </w:t>
      </w:r>
      <w:r>
        <w:rPr>
          <w:sz w:val="28"/>
        </w:rPr>
      </w:r>
      <w:r>
        <w:rPr>
          <w:sz w:val="28"/>
        </w:rPr>
      </w:r>
    </w:p>
    <w:p>
      <w:pPr>
        <w:pStyle w:val="885"/>
        <w:ind w:firstLine="720"/>
        <w:jc w:val="both"/>
        <w:spacing w:beforeAutospacing="0" w:afterAutospacing="0"/>
      </w:pPr>
      <w:r>
        <w:rPr>
          <w:sz w:val="28"/>
        </w:rPr>
        <w:t xml:space="preserve">За январь-июнь 2026</w:t>
      </w:r>
      <w:r>
        <w:rPr>
          <w:sz w:val="28"/>
        </w:rPr>
        <w:t xml:space="preserve"> года населению реализовано </w:t>
      </w:r>
      <w:r>
        <w:rPr>
          <w:b/>
          <w:sz w:val="28"/>
        </w:rPr>
        <w:t xml:space="preserve">непродовольственных товаров</w:t>
      </w:r>
      <w:r>
        <w:rPr>
          <w:sz w:val="28"/>
        </w:rPr>
        <w:t xml:space="preserve"> на сумму</w:t>
      </w:r>
      <w:r>
        <w:rPr>
          <w:b/>
          <w:sz w:val="28"/>
        </w:rPr>
        <w:t xml:space="preserve"> 75 </w:t>
      </w:r>
      <w:r>
        <w:rPr>
          <w:b/>
          <w:sz w:val="28"/>
        </w:rPr>
        <w:t xml:space="preserve">613</w:t>
      </w:r>
      <w:r>
        <w:rPr>
          <w:b/>
          <w:sz w:val="28"/>
        </w:rPr>
        <w:t xml:space="preserve">,8</w:t>
      </w:r>
      <w:r>
        <w:rPr>
          <w:b/>
          <w:sz w:val="28"/>
        </w:rPr>
        <w:t xml:space="preserve"> млн. рублей</w:t>
      </w:r>
      <w:r>
        <w:rPr>
          <w:sz w:val="28"/>
        </w:rPr>
        <w:t xml:space="preserve">, что на </w:t>
      </w:r>
      <w:r>
        <w:rPr>
          <w:b/>
          <w:bCs/>
          <w:sz w:val="28"/>
        </w:rPr>
        <w:t xml:space="preserve">8,5</w:t>
      </w:r>
      <w:r>
        <w:rPr>
          <w:b/>
          <w:bCs/>
          <w:sz w:val="28"/>
        </w:rPr>
        <w:t xml:space="preserve">%</w:t>
      </w:r>
      <w:r>
        <w:rPr>
          <w:sz w:val="28"/>
        </w:rPr>
        <w:t xml:space="preserve"> больше, че</w:t>
      </w:r>
      <w:r>
        <w:rPr>
          <w:sz w:val="28"/>
        </w:rPr>
        <w:t xml:space="preserve">м за соответствующий период 2025</w:t>
      </w:r>
      <w:r>
        <w:rPr>
          <w:sz w:val="28"/>
        </w:rPr>
        <w:t xml:space="preserve"> года. Удельный вес непродовольственных товаров в обороте ро</w:t>
      </w:r>
      <w:r>
        <w:rPr>
          <w:sz w:val="28"/>
        </w:rPr>
        <w:t xml:space="preserve">зничной торговли составил </w:t>
      </w:r>
      <w:r>
        <w:rPr>
          <w:b/>
          <w:sz w:val="28"/>
        </w:rPr>
        <w:t xml:space="preserve">55,8</w:t>
      </w:r>
      <w:r>
        <w:rPr>
          <w:b/>
          <w:sz w:val="28"/>
        </w:rPr>
        <w:t xml:space="preserve"> процента.</w:t>
      </w:r>
      <w:r/>
    </w:p>
    <w:p>
      <w:pPr>
        <w:pStyle w:val="885"/>
        <w:ind w:firstLine="720"/>
        <w:jc w:val="both"/>
        <w:spacing w:beforeAutospacing="0" w:afterAutospacing="0"/>
      </w:pPr>
      <w:r>
        <w:rPr>
          <w:sz w:val="28"/>
        </w:rPr>
        <w:t xml:space="preserve">По состоянию на 1 июля </w:t>
      </w:r>
      <w:r>
        <w:rPr>
          <w:sz w:val="28"/>
        </w:rPr>
        <w:t xml:space="preserve">2026</w:t>
      </w:r>
      <w:r>
        <w:rPr>
          <w:sz w:val="28"/>
        </w:rPr>
        <w:t xml:space="preserve"> года объем товарных запасов в организациях розничной торговли составил </w:t>
      </w:r>
      <w:r>
        <w:rPr>
          <w:b/>
          <w:bCs/>
          <w:sz w:val="28"/>
        </w:rPr>
        <w:t xml:space="preserve">12</w:t>
      </w:r>
      <w:r>
        <w:rPr>
          <w:b/>
          <w:bCs/>
          <w:sz w:val="28"/>
        </w:rPr>
        <w:t xml:space="preserve"> 529</w:t>
      </w:r>
      <w:r>
        <w:rPr>
          <w:b/>
          <w:bCs/>
          <w:sz w:val="28"/>
        </w:rPr>
        <w:t xml:space="preserve">,2</w:t>
      </w:r>
      <w:r>
        <w:rPr>
          <w:b/>
          <w:sz w:val="28"/>
        </w:rPr>
        <w:t xml:space="preserve"> млн. рублей. </w:t>
      </w:r>
      <w:r/>
    </w:p>
    <w:p>
      <w:pPr>
        <w:pStyle w:val="885"/>
        <w:ind w:firstLine="720"/>
        <w:jc w:val="both"/>
        <w:spacing w:beforeAutospacing="0" w:afterAutospacing="0"/>
        <w:rPr>
          <w:sz w:val="28"/>
        </w:rPr>
      </w:pPr>
      <w:r>
        <w:rPr>
          <w:sz w:val="28"/>
        </w:rPr>
        <w:t xml:space="preserve">О</w:t>
      </w:r>
      <w:r>
        <w:rPr>
          <w:sz w:val="28"/>
        </w:rPr>
        <w:t xml:space="preserve">борот оптовой торговли в январе-июне 2026</w:t>
      </w:r>
      <w:r>
        <w:rPr>
          <w:sz w:val="28"/>
        </w:rPr>
        <w:t xml:space="preserve"> года составил                            </w:t>
      </w:r>
      <w:r>
        <w:rPr>
          <w:b/>
          <w:bCs/>
          <w:sz w:val="28"/>
        </w:rPr>
        <w:t xml:space="preserve">133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652</w:t>
      </w:r>
      <w:r>
        <w:rPr>
          <w:b/>
          <w:bCs/>
          <w:sz w:val="28"/>
        </w:rPr>
        <w:t xml:space="preserve">,0</w:t>
      </w:r>
      <w:r>
        <w:rPr>
          <w:b/>
          <w:sz w:val="28"/>
        </w:rPr>
        <w:t xml:space="preserve"> млн. рублей</w:t>
      </w:r>
      <w:r>
        <w:rPr>
          <w:sz w:val="28"/>
        </w:rPr>
        <w:t xml:space="preserve"> или</w:t>
      </w:r>
      <w:r>
        <w:rPr>
          <w:b/>
          <w:bCs/>
          <w:sz w:val="28"/>
        </w:rPr>
        <w:t xml:space="preserve"> 119,1</w:t>
      </w:r>
      <w:r>
        <w:rPr>
          <w:b/>
          <w:sz w:val="28"/>
        </w:rPr>
        <w:t xml:space="preserve">% </w:t>
      </w:r>
      <w:r>
        <w:rPr>
          <w:sz w:val="28"/>
        </w:rPr>
        <w:t xml:space="preserve">к соответствующему периоду 2025</w:t>
      </w:r>
      <w:r>
        <w:rPr>
          <w:sz w:val="28"/>
        </w:rPr>
        <w:t xml:space="preserve"> года. В том числе оборот оптовой торговли организаций оптовой торговли сложился в сумме</w:t>
      </w:r>
      <w:r>
        <w:rPr>
          <w:b/>
          <w:bCs/>
          <w:sz w:val="28"/>
        </w:rPr>
        <w:t xml:space="preserve"> 94 </w:t>
      </w:r>
      <w:r>
        <w:rPr>
          <w:b/>
          <w:bCs/>
          <w:sz w:val="28"/>
        </w:rPr>
        <w:t xml:space="preserve">598</w:t>
      </w:r>
      <w:r>
        <w:rPr>
          <w:b/>
          <w:bCs/>
          <w:sz w:val="28"/>
        </w:rPr>
        <w:t xml:space="preserve">,8</w:t>
      </w:r>
      <w:r>
        <w:rPr>
          <w:b/>
          <w:sz w:val="28"/>
        </w:rPr>
        <w:t xml:space="preserve"> млн. рублей</w:t>
      </w:r>
      <w:r>
        <w:rPr>
          <w:sz w:val="28"/>
        </w:rPr>
        <w:t xml:space="preserve"> или </w:t>
      </w:r>
      <w:r>
        <w:rPr>
          <w:b/>
          <w:bCs/>
          <w:sz w:val="28"/>
        </w:rPr>
        <w:t xml:space="preserve">100</w:t>
      </w:r>
      <w:r>
        <w:rPr>
          <w:b/>
          <w:bCs/>
          <w:sz w:val="28"/>
        </w:rPr>
        <w:t xml:space="preserve">,5</w:t>
      </w:r>
      <w:r>
        <w:rPr>
          <w:b/>
          <w:sz w:val="28"/>
        </w:rPr>
        <w:t xml:space="preserve">%</w:t>
      </w:r>
      <w:r>
        <w:rPr>
          <w:sz w:val="28"/>
        </w:rPr>
        <w:t xml:space="preserve"> к январю-июню 2025</w:t>
      </w:r>
      <w:r>
        <w:rPr>
          <w:sz w:val="28"/>
        </w:rPr>
        <w:t xml:space="preserve"> года и составил</w:t>
      </w:r>
      <w:r>
        <w:rPr>
          <w:b/>
          <w:bCs/>
          <w:sz w:val="28"/>
        </w:rPr>
        <w:t xml:space="preserve"> 70,8</w:t>
      </w:r>
      <w:r>
        <w:rPr>
          <w:b/>
          <w:bCs/>
          <w:sz w:val="28"/>
        </w:rPr>
        <w:t xml:space="preserve">%</w:t>
      </w:r>
      <w:r>
        <w:rPr>
          <w:sz w:val="28"/>
        </w:rPr>
        <w:t xml:space="preserve"> общего оборота оптовой торговли.</w:t>
      </w:r>
      <w:r>
        <w:rPr>
          <w:sz w:val="28"/>
        </w:rPr>
      </w:r>
      <w:r>
        <w:rPr>
          <w:sz w:val="28"/>
        </w:rPr>
      </w:r>
    </w:p>
    <w:p>
      <w:pPr>
        <w:pStyle w:val="885"/>
        <w:ind w:firstLine="720"/>
        <w:jc w:val="both"/>
        <w:spacing w:beforeAutospacing="0" w:afterAutospacing="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5"/>
        <w:ind w:firstLine="720"/>
        <w:jc w:val="both"/>
        <w:spacing w:beforeAutospacing="0" w:afterAutospacing="0"/>
      </w:pPr>
      <w:r/>
      <w:r/>
    </w:p>
    <w:p>
      <w:pPr>
        <w:pStyle w:val="885"/>
        <w:contextualSpacing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  <w:t xml:space="preserve">Структура оборота оптовой торговли предприятий всех видов экономической деятельности </w:t>
      </w:r>
      <w:r>
        <w:rPr>
          <w:sz w:val="28"/>
        </w:rPr>
        <w:t xml:space="preserve">(в процентах к итогу)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contextualSpacing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contextualSpacing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  <w:t xml:space="preserve">январь-июнь 2026</w:t>
      </w:r>
      <w:r>
        <w:rPr>
          <w:b/>
          <w:sz w:val="28"/>
        </w:rPr>
        <w:t xml:space="preserve"> года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jc w:val="center"/>
        <w:spacing w:line="240" w:lineRule="atLeast"/>
        <w:rPr>
          <w:sz w:val="28"/>
        </w:rPr>
      </w:pPr>
      <w:r>
        <w:rPr>
          <w:lang w:eastAsia="ru-RU" w:bidi="ar-SA"/>
        </w:rPr>
      </w:r>
      <w:r/>
      <w:r>
        <w:rPr>
          <w:sz w:val="28"/>
        </w:rPr>
      </w:r>
      <w:r>
        <w:drawing>
          <wp:inline distT="0" distB="0" distL="0" distR="0">
            <wp:extent cx="5378061" cy="3007067"/>
            <wp:effectExtent l="4681" t="4681" r="4681" b="4681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sz w:val="28"/>
        </w:rPr>
      </w:r>
      <w:r>
        <w:rPr>
          <w:sz w:val="28"/>
        </w:rPr>
      </w:r>
    </w:p>
    <w:p>
      <w:pPr>
        <w:pStyle w:val="885"/>
        <w:spacing w:line="240" w:lineRule="atLeast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</w:r>
      <w:bookmarkStart w:id="1" w:name="_GoBack"/>
      <w:r/>
      <w:bookmarkEnd w:id="1"/>
      <w:r>
        <w:rPr>
          <w:sz w:val="28"/>
        </w:rPr>
      </w:r>
      <w:r>
        <w:rPr>
          <w:sz w:val="28"/>
        </w:rPr>
      </w:r>
    </w:p>
    <w:p>
      <w:pPr>
        <w:pStyle w:val="885"/>
        <w:ind w:firstLine="720"/>
        <w:jc w:val="center"/>
        <w:rPr>
          <w:b/>
          <w:bCs/>
          <w:sz w:val="28"/>
          <w:szCs w:val="28"/>
        </w:rPr>
      </w:pPr>
      <w:r>
        <w:rPr>
          <w:b/>
          <w:sz w:val="28"/>
          <w:highlight w:val="none"/>
        </w:rPr>
      </w:r>
      <w:r>
        <w:rPr>
          <w:b/>
          <w:sz w:val="28"/>
          <w:highlight w:val="none"/>
        </w:rPr>
      </w:r>
    </w:p>
    <w:p>
      <w:pPr>
        <w:pStyle w:val="885"/>
        <w:ind w:firstLine="720"/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январь-июнь 2025</w:t>
      </w:r>
      <w:r>
        <w:rPr>
          <w:b/>
          <w:sz w:val="28"/>
        </w:rPr>
        <w:t xml:space="preserve"> года</w:t>
      </w:r>
      <w:r>
        <w:rPr>
          <w:b/>
          <w:sz w:val="28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85"/>
        <w:jc w:val="center"/>
      </w:pPr>
      <w:r>
        <w:rPr>
          <w:lang w:eastAsia="ru-RU" w:bidi="ar-SA"/>
        </w:rPr>
      </w:r>
      <w:r/>
      <w:r>
        <w:rPr>
          <w:lang w:eastAsia="ru-RU" w:bidi="ar-SA"/>
        </w:rPr>
      </w:r>
      <w:r>
        <w:drawing>
          <wp:inline distT="0" distB="0" distL="0" distR="0">
            <wp:extent cx="4908290" cy="2983106"/>
            <wp:effectExtent l="4681" t="4681" r="4681" b="4681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lang w:eastAsia="ru-RU" w:bidi="ar-SA"/>
        </w:rPr>
      </w:r>
      <w:r/>
    </w:p>
    <w:p>
      <w:pPr>
        <w:pStyle w:val="885"/>
        <w:ind w:firstLine="709"/>
        <w:jc w:val="both"/>
        <w:rPr>
          <w:highlight w:val="none"/>
        </w:rPr>
      </w:pPr>
      <w:r>
        <w:rPr>
          <w:sz w:val="28"/>
        </w:rPr>
        <w:t xml:space="preserve">По рейтингу среди республик и областей ПФО по индексу физического объема оборо</w:t>
      </w:r>
      <w:r>
        <w:rPr>
          <w:sz w:val="28"/>
        </w:rPr>
        <w:t xml:space="preserve">та оптовой торговли в январе-июне 2026</w:t>
      </w:r>
      <w:r>
        <w:rPr>
          <w:sz w:val="28"/>
        </w:rPr>
        <w:t xml:space="preserve"> г. Республика Мордовия занимает 1 </w:t>
      </w:r>
      <w:r>
        <w:rPr>
          <w:b/>
          <w:sz w:val="28"/>
        </w:rPr>
        <w:t xml:space="preserve">место</w:t>
      </w:r>
      <w:r>
        <w:rPr>
          <w:sz w:val="28"/>
        </w:rPr>
        <w:t xml:space="preserve">, темп роста составил </w:t>
      </w:r>
      <w:r>
        <w:rPr>
          <w:b/>
          <w:bCs/>
          <w:sz w:val="28"/>
        </w:rPr>
        <w:t xml:space="preserve">119,1</w:t>
      </w:r>
      <w:r>
        <w:rPr>
          <w:b/>
          <w:sz w:val="28"/>
        </w:rPr>
        <w:t xml:space="preserve"> процента.</w:t>
      </w:r>
      <w:r>
        <w:rPr>
          <w:sz w:val="28"/>
        </w:rPr>
        <w:t xml:space="preserve"> Минимальное </w:t>
      </w:r>
      <w:r>
        <w:rPr>
          <w:sz w:val="28"/>
        </w:rPr>
        <w:t xml:space="preserve">значение в Чувашская </w:t>
      </w:r>
      <w:r>
        <w:rPr>
          <w:sz w:val="28"/>
        </w:rPr>
        <w:t xml:space="preserve">Республике </w:t>
      </w:r>
      <w:r>
        <w:rPr>
          <w:b/>
          <w:sz w:val="28"/>
        </w:rPr>
        <w:t xml:space="preserve">(72</w:t>
      </w:r>
      <w:r>
        <w:rPr>
          <w:b/>
          <w:sz w:val="28"/>
        </w:rPr>
        <w:t xml:space="preserve">,6</w:t>
      </w:r>
      <w:r>
        <w:rPr>
          <w:b/>
          <w:sz w:val="28"/>
        </w:rPr>
        <w:t xml:space="preserve"> процента)</w:t>
      </w:r>
      <w:r>
        <w:rPr>
          <w:sz w:val="28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885"/>
        <w:ind w:firstLine="709"/>
        <w:jc w:val="both"/>
        <w:rPr>
          <w:sz w:val="12"/>
          <w:szCs w:val="12"/>
        </w:rPr>
      </w:pPr>
      <w:r>
        <w:rPr>
          <w:sz w:val="10"/>
          <w:szCs w:val="6"/>
          <w:highlight w:val="none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885"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  <w:t xml:space="preserve">Обор</w:t>
      </w:r>
      <w:r>
        <w:rPr>
          <w:b/>
          <w:sz w:val="28"/>
        </w:rPr>
        <w:t xml:space="preserve">от оптовой торговли в январе-июне 2026</w:t>
      </w:r>
      <w:r>
        <w:rPr>
          <w:b/>
          <w:sz w:val="28"/>
        </w:rPr>
        <w:t xml:space="preserve"> года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ind w:firstLine="720"/>
        <w:jc w:val="center"/>
        <w:spacing w:beforeAutospacing="0" w:afterAutospacing="0"/>
      </w:pPr>
      <w:r/>
      <w:bookmarkStart w:id="2" w:name="_Hlk504048507"/>
      <w:r>
        <w:t xml:space="preserve">(по организациям всех видов деятельности)</w:t>
      </w:r>
      <w:bookmarkEnd w:id="2"/>
      <w:r/>
      <w:r/>
    </w:p>
    <w:p>
      <w:pPr>
        <w:pStyle w:val="885"/>
        <w:ind w:firstLine="720"/>
        <w:jc w:val="center"/>
        <w:spacing w:beforeAutospacing="0" w:afterAutospacing="0"/>
        <w:rPr>
          <w:sz w:val="14"/>
          <w:szCs w:val="8"/>
        </w:rPr>
      </w:pPr>
      <w:r>
        <w:rPr>
          <w:sz w:val="14"/>
          <w:szCs w:val="8"/>
        </w:rPr>
      </w:r>
      <w:r>
        <w:rPr>
          <w:sz w:val="14"/>
          <w:szCs w:val="8"/>
        </w:rPr>
      </w:r>
      <w:r>
        <w:rPr>
          <w:sz w:val="14"/>
          <w:szCs w:val="8"/>
        </w:rPr>
      </w:r>
    </w:p>
    <w:p>
      <w:pPr>
        <w:pStyle w:val="885"/>
        <w:jc w:val="center"/>
        <w:spacing w:beforeAutospacing="0" w:afterAutospacing="0"/>
        <w:rPr>
          <w:sz w:val="28"/>
        </w:rPr>
      </w:pPr>
      <w:r>
        <w:rPr>
          <w:lang w:eastAsia="ru-RU" w:bidi="ar-SA"/>
        </w:rPr>
      </w:r>
      <w:r/>
      <w:r>
        <w:rPr>
          <w:sz w:val="28"/>
        </w:rPr>
      </w:r>
      <w:r>
        <w:drawing>
          <wp:inline distT="0" distB="0" distL="0" distR="0">
            <wp:extent cx="5842856" cy="2628914"/>
            <wp:effectExtent l="4681" t="4681" r="4681" b="4681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sz w:val="28"/>
        </w:rPr>
      </w:r>
      <w:r>
        <w:rPr>
          <w:sz w:val="28"/>
        </w:rPr>
      </w:r>
    </w:p>
    <w:p>
      <w:pPr>
        <w:pStyle w:val="885"/>
        <w:spacing w:beforeAutospacing="0" w:afterAutospacing="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5"/>
        <w:contextualSpacing/>
        <w:ind w:firstLine="720"/>
        <w:jc w:val="both"/>
        <w:spacing w:beforeAutospacing="0" w:afterAutospacing="0"/>
        <w:rPr>
          <w:sz w:val="28"/>
        </w:rPr>
      </w:pPr>
      <w:r>
        <w:rPr>
          <w:sz w:val="28"/>
        </w:rPr>
        <w:t xml:space="preserve">В январе-июне 2026</w:t>
      </w:r>
      <w:r>
        <w:rPr>
          <w:sz w:val="28"/>
        </w:rPr>
        <w:t xml:space="preserve"> года оборот общественного питания составил </w:t>
      </w:r>
      <w:r>
        <w:rPr>
          <w:b/>
          <w:sz w:val="28"/>
        </w:rPr>
        <w:t xml:space="preserve">                 7 084</w:t>
      </w:r>
      <w:r>
        <w:rPr>
          <w:b/>
          <w:sz w:val="28"/>
        </w:rPr>
        <w:t xml:space="preserve">,13</w:t>
      </w:r>
      <w:r>
        <w:rPr>
          <w:b/>
          <w:sz w:val="28"/>
        </w:rPr>
        <w:t xml:space="preserve"> млн. рублей</w:t>
      </w:r>
      <w:r>
        <w:rPr>
          <w:sz w:val="28"/>
        </w:rPr>
        <w:t xml:space="preserve">, что на</w:t>
      </w:r>
      <w:r>
        <w:rPr>
          <w:b/>
          <w:bCs/>
          <w:sz w:val="28"/>
        </w:rPr>
        <w:t xml:space="preserve"> 3,3</w:t>
      </w:r>
      <w:r>
        <w:rPr>
          <w:b/>
          <w:sz w:val="28"/>
        </w:rPr>
        <w:t xml:space="preserve">% </w:t>
      </w:r>
      <w:r>
        <w:rPr>
          <w:b w:val="0"/>
          <w:bCs w:val="0"/>
          <w:sz w:val="28"/>
        </w:rPr>
        <w:t xml:space="preserve">ниже </w:t>
      </w:r>
      <w:r>
        <w:rPr>
          <w:sz w:val="28"/>
        </w:rPr>
        <w:t xml:space="preserve">января-июня 2025</w:t>
      </w:r>
      <w:r>
        <w:rPr>
          <w:sz w:val="28"/>
        </w:rPr>
        <w:t xml:space="preserve"> года. </w:t>
      </w:r>
      <w:r>
        <w:rPr>
          <w:sz w:val="28"/>
        </w:rPr>
      </w:r>
      <w:r>
        <w:rPr>
          <w:sz w:val="28"/>
        </w:rPr>
      </w:r>
    </w:p>
    <w:p>
      <w:pPr>
        <w:pStyle w:val="885"/>
        <w:jc w:val="center"/>
        <w:rPr>
          <w:b/>
          <w:bCs/>
          <w:sz w:val="28"/>
          <w:szCs w:val="28"/>
        </w:r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85"/>
        <w:jc w:val="center"/>
        <w:rPr>
          <w:b/>
          <w:bCs/>
          <w:sz w:val="28"/>
          <w:szCs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bCs/>
          <w:sz w:val="28"/>
          <w:szCs w:val="28"/>
        </w:rPr>
      </w:r>
    </w:p>
    <w:p>
      <w:pPr>
        <w:pStyle w:val="885"/>
        <w:jc w:val="center"/>
        <w:rPr>
          <w:b/>
          <w:sz w:val="28"/>
        </w:rPr>
      </w:pPr>
      <w:r>
        <w:rPr>
          <w:b/>
          <w:sz w:val="28"/>
        </w:rPr>
        <w:t xml:space="preserve">Оборот</w:t>
      </w:r>
      <w:r>
        <w:rPr>
          <w:b/>
          <w:sz w:val="28"/>
        </w:rPr>
        <w:t xml:space="preserve"> общественного питания в январе-июне 2026</w:t>
      </w:r>
      <w:r>
        <w:rPr>
          <w:b/>
          <w:sz w:val="28"/>
        </w:rPr>
        <w:t xml:space="preserve"> года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jc w:val="center"/>
        <w:rPr>
          <w:b/>
          <w:sz w:val="28"/>
        </w:rPr>
      </w:pPr>
      <w:r>
        <w:rPr>
          <w:lang w:eastAsia="ru-RU" w:bidi="ar-SA"/>
        </w:rPr>
      </w:r>
      <w:r/>
      <w:r>
        <w:rPr>
          <w:b/>
          <w:sz w:val="28"/>
        </w:rPr>
      </w:r>
      <w:r>
        <w:drawing>
          <wp:inline distT="0" distB="0" distL="0" distR="0">
            <wp:extent cx="5939790" cy="2983025"/>
            <wp:effectExtent l="4762" t="4762" r="4762" b="4762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ind w:firstLine="720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По индексу физического объема оборота общ</w:t>
      </w:r>
      <w:r>
        <w:rPr>
          <w:sz w:val="28"/>
        </w:rPr>
        <w:t xml:space="preserve">ественного питания за январь-июнь 2026</w:t>
      </w:r>
      <w:r>
        <w:rPr>
          <w:sz w:val="28"/>
        </w:rPr>
        <w:t xml:space="preserve"> года</w:t>
      </w:r>
      <w:r>
        <w:rPr>
          <w:sz w:val="28"/>
        </w:rPr>
        <w:t xml:space="preserve"> к соответствующему периоду 2025</w:t>
      </w:r>
      <w:r>
        <w:rPr>
          <w:sz w:val="28"/>
        </w:rPr>
        <w:t xml:space="preserve"> года среди регионов ПФО Республика Мордовия занимает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13</w:t>
      </w:r>
      <w:r>
        <w:rPr>
          <w:b/>
          <w:sz w:val="28"/>
        </w:rPr>
        <w:t xml:space="preserve"> место</w:t>
      </w:r>
      <w:r>
        <w:rPr>
          <w:sz w:val="28"/>
        </w:rPr>
        <w:t xml:space="preserve"> (темп роста </w:t>
      </w:r>
      <w:r>
        <w:rPr>
          <w:b/>
          <w:bCs/>
          <w:sz w:val="28"/>
        </w:rPr>
        <w:t xml:space="preserve">96,7</w:t>
      </w:r>
      <w:r>
        <w:rPr>
          <w:sz w:val="28"/>
        </w:rPr>
        <w:t xml:space="preserve"> </w:t>
      </w:r>
      <w:r>
        <w:rPr>
          <w:b/>
          <w:sz w:val="28"/>
        </w:rPr>
        <w:t xml:space="preserve">процента</w:t>
      </w:r>
      <w:r>
        <w:rPr>
          <w:sz w:val="28"/>
        </w:rPr>
        <w:t xml:space="preserve">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5"/>
        <w:ind w:firstLine="720"/>
        <w:jc w:val="center"/>
        <w:spacing w:beforeAutospacing="0" w:afterAutospacing="0"/>
        <w:rPr>
          <w:b/>
          <w:sz w:val="28"/>
        </w:rPr>
      </w:pPr>
      <w:r>
        <w:rPr>
          <w:b/>
          <w:sz w:val="28"/>
        </w:rPr>
        <w:t xml:space="preserve">Структура оборота общественного питания по хозяй</w:t>
      </w:r>
      <w:r>
        <w:rPr>
          <w:b/>
          <w:sz w:val="28"/>
        </w:rPr>
        <w:t xml:space="preserve">ствующим субъектам в январе-июне 2026</w:t>
      </w:r>
      <w:r>
        <w:rPr>
          <w:b/>
          <w:sz w:val="28"/>
        </w:rPr>
        <w:t xml:space="preserve"> года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85"/>
        <w:ind w:firstLine="720"/>
        <w:spacing w:beforeAutospacing="0" w:afterAutospacing="0"/>
        <w:rPr>
          <w:sz w:val="28"/>
        </w:rPr>
      </w:pPr>
      <w:r>
        <w:rPr>
          <w:sz w:val="28"/>
        </w:rPr>
        <w:t xml:space="preserve">(в процентах к итогу, в фактически действовавших ценах)</w:t>
      </w:r>
      <w:r>
        <w:rPr>
          <w:sz w:val="28"/>
        </w:rPr>
      </w:r>
      <w:r>
        <w:rPr>
          <w:sz w:val="28"/>
        </w:rPr>
      </w:r>
    </w:p>
    <w:p>
      <w:pPr>
        <w:jc w:val="both"/>
        <w:tabs>
          <w:tab w:val="left" w:pos="360" w:leader="none"/>
        </w:tabs>
      </w:pPr>
      <w:r/>
      <w:r/>
    </w:p>
    <w:p>
      <w:pPr>
        <w:jc w:val="center"/>
        <w:tabs>
          <w:tab w:val="left" w:pos="360" w:leader="none"/>
        </w:tabs>
      </w:pPr>
      <w:r>
        <w:rPr>
          <w:lang w:eastAsia="ru-RU" w:bidi="ar-SA"/>
        </w:rPr>
      </w:r>
      <w:r/>
      <w:r>
        <w:rPr>
          <w:lang w:eastAsia="ru-RU" w:bidi="ar-SA"/>
        </w:rPr>
      </w:r>
      <w:r>
        <w:drawing>
          <wp:inline distT="0" distB="0" distL="0" distR="0">
            <wp:extent cx="5939790" cy="2781517"/>
            <wp:effectExtent l="4681" t="4681" r="4681" b="4681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lang w:eastAsia="ru-RU" w:bidi="ar-SA"/>
        </w:rPr>
      </w:r>
      <w:r/>
    </w:p>
    <w:p>
      <w:pPr>
        <w:ind w:firstLine="720"/>
        <w:jc w:val="both"/>
        <w:tabs>
          <w:tab w:val="left" w:pos="360" w:leader="none"/>
        </w:tabs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ind w:firstLine="709"/>
        <w:jc w:val="both"/>
        <w:tabs>
          <w:tab w:val="left" w:pos="360" w:leader="none"/>
        </w:tabs>
        <w:rPr>
          <w:sz w:val="28"/>
          <w:szCs w:val="22"/>
        </w:rPr>
      </w:pPr>
      <w:r>
        <w:rPr>
          <w:sz w:val="28"/>
          <w:szCs w:val="22"/>
        </w:rPr>
        <w:t xml:space="preserve">Сводный индекс потребительских цен на все товары и </w:t>
      </w:r>
      <w:r>
        <w:rPr>
          <w:sz w:val="28"/>
          <w:szCs w:val="22"/>
        </w:rPr>
        <w:t xml:space="preserve">услуги в июне 2026 года (к предыдущему месяцу) составил </w:t>
      </w:r>
      <w:r>
        <w:rPr>
          <w:sz w:val="28"/>
          <w:szCs w:val="22"/>
        </w:rPr>
        <w:t xml:space="preserve">100,6%, в том числе по продовольственным товарам – 100,4%, </w:t>
      </w:r>
      <w:r>
        <w:rPr>
          <w:sz w:val="28"/>
          <w:szCs w:val="22"/>
        </w:rPr>
        <w:t xml:space="preserve">непродовольственным – 101,4% и услугам – 100,1%.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  <w:tabs>
          <w:tab w:val="left" w:pos="360" w:leader="none"/>
        </w:tabs>
        <w:rPr>
          <w:sz w:val="28"/>
          <w:szCs w:val="22"/>
        </w:rPr>
      </w:pPr>
      <w:r>
        <w:rPr>
          <w:sz w:val="28"/>
          <w:szCs w:val="22"/>
        </w:rPr>
        <w:t xml:space="preserve">Индекс на все товары в июне 2026 года (к предыдущему </w:t>
      </w:r>
      <w:r>
        <w:rPr>
          <w:sz w:val="28"/>
          <w:szCs w:val="22"/>
        </w:rPr>
        <w:t xml:space="preserve">месяцу) составил 100,8%. Индекс на все товары и услуги без </w:t>
      </w:r>
      <w:r>
        <w:rPr>
          <w:sz w:val="28"/>
          <w:szCs w:val="22"/>
        </w:rPr>
        <w:t xml:space="preserve">овощей, картофеля и фруктов в июне 2026 года (к предыдущему </w:t>
      </w:r>
      <w:r>
        <w:rPr>
          <w:sz w:val="28"/>
          <w:szCs w:val="22"/>
        </w:rPr>
        <w:t xml:space="preserve">месяцу) составил 100,4%.</w:t>
      </w:r>
      <w:r>
        <w:rPr>
          <w:sz w:val="28"/>
          <w:szCs w:val="22"/>
        </w:rPr>
      </w:r>
      <w:r>
        <w:rPr>
          <w:sz w:val="28"/>
          <w:szCs w:val="22"/>
        </w:rPr>
      </w:r>
    </w:p>
    <w:p>
      <w:pPr>
        <w:ind w:firstLine="709"/>
        <w:jc w:val="both"/>
      </w:pPr>
      <w:r>
        <w:rPr>
          <w:sz w:val="28"/>
          <w:highlight w:val="none"/>
        </w:rPr>
        <w:t xml:space="preserve">В июне цены на плодоовощную продукцию изменились </w:t>
      </w:r>
      <w:r/>
      <w:r>
        <w:rPr>
          <w:sz w:val="28"/>
          <w:highlight w:val="none"/>
        </w:rPr>
        <w:t xml:space="preserve">следующим образом: лук репчатый стал дороже на 28,7%,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морковь – на 27,2%, капуста белокочанная свежая – на 16,8%,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картофель – на 16,7%, огурцы свежие – на 14,0%, лимоны – на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10,8%, свёкла столовая – на 8,1%, помидоры свежие – на 5,0%,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виноград – на 4,0%. В свою очередь на 1,9% стала дешевле зелень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свежая, на 1,1% – перец сладкий свежий, на 1,0% – бананы.</w:t>
      </w:r>
      <w:r/>
      <w:r>
        <w:rPr>
          <w:sz w:val="28"/>
          <w:highlight w:val="none"/>
        </w:rPr>
      </w:r>
    </w:p>
    <w:p>
      <w:pPr>
        <w:ind w:firstLine="709"/>
        <w:jc w:val="both"/>
      </w:pPr>
      <w:r>
        <w:rPr>
          <w:sz w:val="28"/>
          <w:highlight w:val="none"/>
        </w:rPr>
        <w:t xml:space="preserve">В июне среди прочих наблюдаемых продовольственных </w:t>
      </w:r>
      <w:r/>
      <w:r>
        <w:rPr>
          <w:sz w:val="28"/>
          <w:highlight w:val="none"/>
        </w:rPr>
        <w:t xml:space="preserve">товаров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наибольшее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повышение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цен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отмечено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на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куры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охлажденные и мороженые и мясо индейки на 3,1%, окорочка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куриные – на 2,9%, кофе в организациях быстрого обслуживания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– на 2,2%, сахар-песок – на 2,1%, рыбу соленую, маринованную,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копченую и продукцию предприятий общественного питания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быстрого обслуживания – на 2,0%, обед в столовой, кафе,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закусочной – на 1,9%, консервы овощные для детского питания –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на 1,7%, напитки газированные и мороженое сливочное – на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1,6%, соленые и копченые деликатесные продукты из рыбы и</w:t>
      </w:r>
      <w:r/>
      <w:r>
        <w:rPr>
          <w:sz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highlight w:val="none"/>
        </w:rPr>
        <w:t xml:space="preserve">молоко сгущенное с сахаром – на 1,4%, какао, карамель, вино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игристое отечественное и филе рыбное – на 1,3%, кулинарные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изделия из птицы и фарш мясной – на 1,2%, ужин в ресторане,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пельмени, манты, равиоли, мёд пчелиный натуральный, горошек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зеленый консервированный, рыбу мороженую неразделанную и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зефир, пастилу – на 1,1%.</w:t>
      </w:r>
      <w:r/>
      <w:r>
        <w:rPr>
          <w:sz w:val="28"/>
          <w:highlight w:val="none"/>
        </w:rPr>
      </w:r>
    </w:p>
    <w:p>
      <w:pPr>
        <w:ind w:firstLine="709"/>
        <w:jc w:val="both"/>
      </w:pPr>
      <w:r>
        <w:rPr>
          <w:sz w:val="28"/>
          <w:highlight w:val="none"/>
        </w:rPr>
        <w:t xml:space="preserve">В то же время подешевели: яйца куриные – на 17,3%, рис </w:t>
      </w:r>
      <w:r/>
      <w:r>
        <w:rPr>
          <w:sz w:val="28"/>
          <w:highlight w:val="none"/>
        </w:rPr>
        <w:t xml:space="preserve">шлифованный – на 3,7 %, консервы мясные для детского питания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– на 3,4%, сливки питьевые – на 3,1%, майонез и креветки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мороженые, неразделанные – на 2,5%, крупа манная и сыры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твердые, полутвердые и мягкие – на 2,4%, овощи натуральные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консервированные, маринованные – на 2,2%, творожок детский –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на 1,7%, чай зеленый – на 1,6%, консервы фруктово-ягодные для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детского питания – на 1,4%, хлеб и булочные изделия из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пшеничной муки различных сортов и крупы овсяная и перловая –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на 1,3%, свинина бескостная и масло сливочное – на 1,2%.</w:t>
      </w:r>
      <w:r/>
      <w:r>
        <w:rPr>
          <w:sz w:val="28"/>
          <w:highlight w:val="none"/>
        </w:rPr>
      </w:r>
    </w:p>
    <w:p>
      <w:pPr>
        <w:ind w:firstLine="709"/>
        <w:jc w:val="both"/>
      </w:pPr>
      <w:r>
        <w:rPr>
          <w:sz w:val="28"/>
          <w:highlight w:val="none"/>
        </w:rPr>
        <w:t xml:space="preserve">В июне цены на непродовольственные товары в среднем за </w:t>
      </w:r>
      <w:r/>
      <w:r>
        <w:rPr>
          <w:sz w:val="28"/>
          <w:highlight w:val="none"/>
        </w:rPr>
        <w:t xml:space="preserve">месяц выросли на 1,4%. Здесь наиболее всего подорожали: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еврошифер – на 3,2%, ткани хлопчатобумажные бельевые – на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2,3%, ползунки из хлопчатобумажного трикотажного полотна и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коньки – на 1,9%, стекло оконное листовое – на 1,8%, спички – на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1,7%, табурет для кухни – на 1,6%, кружка, чашка чайная с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блюдцем и шампунь – на 1,4%, велосипед дорожный для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взрослых, мыло туалетное и линолеум – на 1,3%, компьютер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персональный переносной (ноутбук) и дезодорант – на 1,2%,</w:t>
      </w:r>
      <w:r/>
      <w:r>
        <w:rPr>
          <w:sz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highlight w:val="none"/>
        </w:rPr>
        <w:t xml:space="preserve">рубашка верхняя для мальчиков дошкольного возраста и крем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для лица – на 1,1%.</w:t>
      </w:r>
      <w:r/>
      <w:r>
        <w:rPr>
          <w:sz w:val="28"/>
          <w:highlight w:val="none"/>
        </w:rPr>
      </w:r>
    </w:p>
    <w:p>
      <w:pPr>
        <w:ind w:firstLine="709"/>
        <w:jc w:val="both"/>
      </w:pPr>
      <w:r>
        <w:rPr>
          <w:sz w:val="28"/>
          <w:highlight w:val="none"/>
        </w:rPr>
        <w:t xml:space="preserve">Вместе с тем, снизились цены на печь микроволновую - на </w:t>
      </w:r>
      <w:r/>
      <w:r>
        <w:rPr>
          <w:sz w:val="28"/>
          <w:highlight w:val="none"/>
        </w:rPr>
        <w:t xml:space="preserve">4,6%, свежесрезанные цветы – на 4,3%, электропылесос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напольный – на 3,3%, матрас детский – на 3,1%, полуботинки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мужские с верхом из искусственной кожи – на 2,9%, комбинезон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(костюм) утепленный для детей дошкольного возраста – на 2,5%,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брюки женские из полушерстяных или смесовых тканей,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кроссовые туфли для взрослых, ботинки, полуботинки для детей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школьного возраста и пальто женское зимнее – на 2,2%, смарт-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часы – на 2,1%, электроутюг – на 2,0%, учебник, учебное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пособие, дидактический материал для общеобразовательной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школы – на 1,9%.</w:t>
      </w:r>
      <w:r/>
      <w:r>
        <w:rPr>
          <w:sz w:val="28"/>
          <w:highlight w:val="none"/>
        </w:rPr>
      </w:r>
    </w:p>
    <w:p>
      <w:pPr>
        <w:ind w:firstLine="709"/>
        <w:jc w:val="both"/>
      </w:pPr>
      <w:r>
        <w:rPr>
          <w:sz w:val="28"/>
          <w:highlight w:val="none"/>
        </w:rPr>
        <w:t xml:space="preserve">На бензин автомобильный цены повысились на 6,0%, на </w:t>
      </w:r>
      <w:r/>
      <w:r>
        <w:rPr>
          <w:sz w:val="28"/>
          <w:highlight w:val="none"/>
        </w:rPr>
        <w:t xml:space="preserve">дизельное топливо – на 6,5%, газовое моторное топливо – на </w:t>
      </w:r>
      <w:r/>
      <w:r>
        <w:rPr>
          <w:sz w:val="28"/>
          <w:highlight w:val="none"/>
        </w:rPr>
      </w:r>
      <w:r>
        <w:rPr>
          <w:sz w:val="28"/>
          <w:highlight w:val="none"/>
        </w:rPr>
        <w:t xml:space="preserve">7,6%.</w:t>
      </w:r>
      <w:r/>
      <w:r>
        <w:rPr>
          <w:sz w:val="28"/>
          <w:highlight w:val="none"/>
        </w:rPr>
      </w:r>
      <w:r>
        <w:rPr>
          <w:sz w:val="28"/>
          <w:highlight w:val="none"/>
        </w:rPr>
      </w:r>
      <w:r/>
      <w:r/>
      <w:r>
        <w:rPr>
          <w:sz w:val="28"/>
          <w:highlight w:val="none"/>
        </w:rPr>
      </w:r>
      <w:r>
        <w:rPr>
          <w:sz w:val="28"/>
          <w:highlight w:val="none"/>
        </w:rPr>
      </w: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</w:r>
      <w:r>
        <w:rPr>
          <w:sz w:val="28"/>
        </w:rPr>
        <w:t xml:space="preserve">Индекс цен (тарифов) на услуги </w:t>
      </w:r>
      <w:bookmarkStart w:id="3" w:name="_Hlk508100149"/>
      <w:r>
        <w:rPr>
          <w:sz w:val="28"/>
        </w:rPr>
        <w:t xml:space="preserve">в</w:t>
      </w:r>
      <w:bookmarkEnd w:id="3"/>
      <w:r>
        <w:rPr>
          <w:sz w:val="28"/>
        </w:rPr>
        <w:t xml:space="preserve"> июне </w:t>
      </w:r>
      <w:r>
        <w:rPr>
          <w:sz w:val="28"/>
        </w:rPr>
        <w:t xml:space="preserve">2026</w:t>
      </w:r>
      <w:r>
        <w:rPr>
          <w:sz w:val="28"/>
        </w:rPr>
        <w:t xml:space="preserve"> г. (к предыдущему месяцу) по Республике Мордовия составил </w:t>
      </w:r>
      <w:r>
        <w:rPr>
          <w:b/>
          <w:bCs/>
          <w:sz w:val="28"/>
        </w:rPr>
        <w:t xml:space="preserve">100,1</w:t>
      </w:r>
      <w:r>
        <w:rPr>
          <w:sz w:val="28"/>
        </w:rPr>
        <w:t xml:space="preserve"> процента. </w:t>
      </w: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</w:pPr>
      <w:r>
        <w:rPr>
          <w:b/>
          <w:sz w:val="28"/>
        </w:rPr>
        <w:t xml:space="preserve">Индекс цен на бытовые</w:t>
      </w:r>
      <w:r>
        <w:rPr>
          <w:sz w:val="28"/>
        </w:rPr>
        <w:t xml:space="preserve"> </w:t>
      </w:r>
      <w:r>
        <w:rPr>
          <w:b/>
          <w:sz w:val="28"/>
        </w:rPr>
        <w:t xml:space="preserve">услуги</w:t>
      </w:r>
      <w:r>
        <w:rPr>
          <w:sz w:val="28"/>
        </w:rPr>
        <w:t xml:space="preserve"> в июне </w:t>
      </w:r>
      <w:r>
        <w:rPr>
          <w:sz w:val="28"/>
        </w:rPr>
        <w:t xml:space="preserve">2026</w:t>
      </w:r>
      <w:r>
        <w:rPr>
          <w:sz w:val="28"/>
        </w:rPr>
        <w:t xml:space="preserve"> года (к предыдущему месяцу) в целом по Республике Мордовия составил </w:t>
      </w:r>
      <w:r>
        <w:rPr>
          <w:b/>
          <w:bCs/>
          <w:sz w:val="28"/>
        </w:rPr>
        <w:t xml:space="preserve">100,4</w:t>
      </w:r>
      <w:r>
        <w:rPr>
          <w:b/>
          <w:bCs/>
          <w:sz w:val="28"/>
        </w:rPr>
        <w:t xml:space="preserve"> </w:t>
      </w:r>
      <w:r>
        <w:rPr>
          <w:b/>
          <w:sz w:val="28"/>
        </w:rPr>
        <w:t xml:space="preserve">процента.</w:t>
      </w:r>
      <w:r/>
    </w:p>
    <w:p>
      <w:pPr>
        <w:ind w:firstLine="709"/>
        <w:jc w:val="both"/>
      </w:pPr>
      <w:r>
        <w:rPr>
          <w:b/>
          <w:sz w:val="28"/>
        </w:rPr>
        <w:t xml:space="preserve">Стоимость условного (минимального) набора продуктов питания, </w:t>
      </w:r>
      <w:r>
        <w:rPr>
          <w:sz w:val="28"/>
        </w:rPr>
        <w:t xml:space="preserve">рассчитанного на месяц в с</w:t>
      </w:r>
      <w:r>
        <w:rPr>
          <w:sz w:val="28"/>
        </w:rPr>
        <w:t xml:space="preserve">реднем по республике в конце июня </w:t>
      </w:r>
      <w:r>
        <w:rPr>
          <w:sz w:val="28"/>
        </w:rPr>
        <w:t xml:space="preserve">2026</w:t>
      </w:r>
      <w:r>
        <w:rPr>
          <w:sz w:val="28"/>
        </w:rPr>
        <w:t xml:space="preserve"> г. составила </w:t>
      </w:r>
      <w:r>
        <w:rPr>
          <w:b/>
          <w:bCs/>
          <w:sz w:val="28"/>
        </w:rPr>
        <w:t xml:space="preserve">6</w:t>
      </w:r>
      <w:r>
        <w:rPr>
          <w:b/>
          <w:bCs/>
          <w:sz w:val="28"/>
        </w:rPr>
        <w:t xml:space="preserve"> </w:t>
      </w:r>
      <w:r>
        <w:rPr>
          <w:b/>
          <w:bCs/>
          <w:sz w:val="28"/>
        </w:rPr>
        <w:t xml:space="preserve">461</w:t>
      </w:r>
      <w:r>
        <w:rPr>
          <w:b/>
          <w:bCs/>
          <w:sz w:val="28"/>
        </w:rPr>
        <w:t xml:space="preserve">,32</w:t>
      </w:r>
      <w:r>
        <w:rPr>
          <w:b/>
          <w:sz w:val="28"/>
        </w:rPr>
        <w:t xml:space="preserve"> рубля </w:t>
      </w:r>
      <w:r>
        <w:rPr>
          <w:sz w:val="28"/>
        </w:rPr>
        <w:t xml:space="preserve">и по сравнению с предыдущим месяцем повысилась </w:t>
      </w:r>
      <w:r>
        <w:rPr>
          <w:sz w:val="28"/>
        </w:rPr>
        <w:t xml:space="preserve">на </w:t>
      </w:r>
      <w:r>
        <w:rPr>
          <w:b/>
          <w:bCs/>
          <w:sz w:val="28"/>
        </w:rPr>
        <w:t xml:space="preserve">2,9</w:t>
      </w:r>
      <w:r>
        <w:rPr>
          <w:b/>
          <w:bCs/>
          <w:sz w:val="28"/>
        </w:rPr>
        <w:t xml:space="preserve"> </w:t>
      </w:r>
      <w:r>
        <w:rPr>
          <w:b/>
          <w:sz w:val="28"/>
        </w:rPr>
        <w:t xml:space="preserve">процента.</w:t>
      </w:r>
      <w:r/>
    </w:p>
    <w:p>
      <w:pPr>
        <w:ind w:firstLine="709"/>
        <w:jc w:val="both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ind w:firstLine="709"/>
        <w:jc w:val="both"/>
        <w:rPr>
          <w:b/>
          <w:sz w:val="28"/>
        </w:rPr>
      </w:pPr>
      <w:r>
        <w:rPr>
          <w:b/>
          <w:sz w:val="28"/>
        </w:rPr>
      </w:r>
      <w:r>
        <w:rPr>
          <w:b/>
          <w:sz w:val="28"/>
        </w:rPr>
      </w:r>
      <w:r>
        <w:rPr>
          <w:b/>
          <w:sz w:val="28"/>
        </w:rPr>
      </w:r>
    </w:p>
    <w:p>
      <w:pPr>
        <w:jc w:val="right"/>
        <w:rPr>
          <w:i/>
          <w:sz w:val="28"/>
        </w:rPr>
      </w:pPr>
      <w:r>
        <w:rPr>
          <w:i/>
          <w:sz w:val="28"/>
        </w:rPr>
        <w:t xml:space="preserve">Информация подготовлена </w:t>
      </w:r>
      <w:r>
        <w:rPr>
          <w:i/>
          <w:sz w:val="28"/>
        </w:rPr>
        <w:br/>
        <w:t xml:space="preserve">отделом развития торговли и потребительских услуг </w:t>
      </w:r>
      <w:r>
        <w:rPr>
          <w:i/>
          <w:sz w:val="28"/>
        </w:rPr>
        <w:br/>
        <w:t xml:space="preserve"> по данным </w:t>
      </w:r>
      <w:r>
        <w:rPr>
          <w:i/>
          <w:sz w:val="28"/>
        </w:rPr>
        <w:t xml:space="preserve">Мордовиястат</w:t>
      </w:r>
      <w:r>
        <w:rPr>
          <w:i/>
          <w:sz w:val="28"/>
        </w:rPr>
      </w:r>
      <w:r>
        <w:rPr>
          <w:i/>
          <w:sz w:val="28"/>
        </w:rPr>
      </w:r>
    </w:p>
    <w:p>
      <w:r/>
      <w:r/>
    </w:p>
    <w:sectPr>
      <w:footnotePr/>
      <w:endnotePr/>
      <w:type w:val="nextPage"/>
      <w:pgSz w:w="11906" w:h="16838" w:orient="portrait"/>
      <w:pgMar w:top="851" w:right="851" w:bottom="567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ahoma">
    <w:panose1 w:val="020B0604030504040204"/>
  </w:font>
  <w:font w:name="XO Thames">
    <w:panose1 w:val="02000603000000000000"/>
  </w:font>
  <w:font w:name="Times New Roman">
    <w:panose1 w:val="02020603050405020304"/>
  </w:font>
  <w:font w:name="Arial">
    <w:panose1 w:val="020B0604020202020204"/>
  </w:font>
  <w:font w:name="NSimSun">
    <w:panose1 w:val="02000506000000020000"/>
  </w:font>
  <w:font w:name="Mangal">
    <w:panose1 w:val="02040503050406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NSimSun" w:cs="Mangal" w:asciiTheme="minorHAnsi" w:hAnsiTheme="minorHAnsi"/>
        <w:color w:val="000000"/>
        <w:sz w:val="22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18"/>
    <w:link w:val="813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18"/>
    <w:link w:val="81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18"/>
    <w:link w:val="815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18"/>
    <w:link w:val="81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18"/>
    <w:link w:val="817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2"/>
    <w:next w:val="812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18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2"/>
    <w:next w:val="812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18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2"/>
    <w:next w:val="812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18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2"/>
    <w:next w:val="812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18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2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18"/>
    <w:link w:val="887"/>
    <w:uiPriority w:val="10"/>
    <w:rPr>
      <w:sz w:val="48"/>
      <w:szCs w:val="48"/>
    </w:rPr>
  </w:style>
  <w:style w:type="character" w:styleId="670">
    <w:name w:val="Subtitle Char"/>
    <w:basedOn w:val="818"/>
    <w:link w:val="872"/>
    <w:uiPriority w:val="11"/>
    <w:rPr>
      <w:sz w:val="24"/>
      <w:szCs w:val="24"/>
    </w:rPr>
  </w:style>
  <w:style w:type="paragraph" w:styleId="671">
    <w:name w:val="Quote"/>
    <w:basedOn w:val="812"/>
    <w:next w:val="812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2"/>
    <w:next w:val="812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character" w:styleId="675">
    <w:name w:val="Header Char"/>
    <w:basedOn w:val="818"/>
    <w:link w:val="865"/>
    <w:uiPriority w:val="99"/>
  </w:style>
  <w:style w:type="character" w:styleId="676">
    <w:name w:val="Footer Char"/>
    <w:basedOn w:val="818"/>
    <w:link w:val="867"/>
    <w:uiPriority w:val="99"/>
  </w:style>
  <w:style w:type="character" w:styleId="677">
    <w:name w:val="Caption Char"/>
    <w:basedOn w:val="818"/>
    <w:link w:val="856"/>
    <w:uiPriority w:val="35"/>
    <w:rPr>
      <w:b/>
      <w:bCs/>
      <w:color w:val="4f81bd" w:themeColor="accent1"/>
      <w:sz w:val="18"/>
      <w:szCs w:val="18"/>
    </w:rPr>
  </w:style>
  <w:style w:type="table" w:styleId="678">
    <w:name w:val="Table Grid"/>
    <w:basedOn w:val="8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3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5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7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8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9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0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1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2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3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7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0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1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2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3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4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5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2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3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4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5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6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7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8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0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1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2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3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4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5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6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7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8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9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0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1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2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3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5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6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7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8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9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0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8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9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0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1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2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3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4">
    <w:name w:val="footnote text"/>
    <w:basedOn w:val="812"/>
    <w:link w:val="805"/>
    <w:uiPriority w:val="99"/>
    <w:semiHidden/>
    <w:unhideWhenUsed/>
    <w:pPr>
      <w:spacing w:after="40" w:line="240" w:lineRule="auto"/>
    </w:pPr>
    <w:rPr>
      <w:sz w:val="18"/>
    </w:rPr>
  </w:style>
  <w:style w:type="character" w:styleId="805">
    <w:name w:val="Footnote Text Char"/>
    <w:link w:val="804"/>
    <w:uiPriority w:val="99"/>
    <w:rPr>
      <w:sz w:val="18"/>
    </w:rPr>
  </w:style>
  <w:style w:type="character" w:styleId="806">
    <w:name w:val="footnote reference"/>
    <w:basedOn w:val="818"/>
    <w:uiPriority w:val="99"/>
    <w:unhideWhenUsed/>
    <w:rPr>
      <w:vertAlign w:val="superscript"/>
    </w:rPr>
  </w:style>
  <w:style w:type="paragraph" w:styleId="807">
    <w:name w:val="endnote text"/>
    <w:basedOn w:val="812"/>
    <w:link w:val="808"/>
    <w:uiPriority w:val="99"/>
    <w:semiHidden/>
    <w:unhideWhenUsed/>
    <w:pPr>
      <w:spacing w:after="0" w:line="240" w:lineRule="auto"/>
    </w:pPr>
    <w:rPr>
      <w:sz w:val="20"/>
    </w:rPr>
  </w:style>
  <w:style w:type="character" w:styleId="808">
    <w:name w:val="Endnote Text Char"/>
    <w:link w:val="807"/>
    <w:uiPriority w:val="99"/>
    <w:rPr>
      <w:sz w:val="20"/>
    </w:rPr>
  </w:style>
  <w:style w:type="character" w:styleId="809">
    <w:name w:val="endnote reference"/>
    <w:basedOn w:val="818"/>
    <w:uiPriority w:val="99"/>
    <w:semiHidden/>
    <w:unhideWhenUsed/>
    <w:rPr>
      <w:vertAlign w:val="superscript"/>
    </w:r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  <w:rPr>
      <w:rFonts w:ascii="Times New Roman" w:hAnsi="Times New Roman"/>
      <w:sz w:val="24"/>
    </w:rPr>
  </w:style>
  <w:style w:type="paragraph" w:styleId="813">
    <w:name w:val="Heading 1"/>
    <w:next w:val="812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14">
    <w:name w:val="Heading 2"/>
    <w:next w:val="812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15">
    <w:name w:val="Heading 3"/>
    <w:basedOn w:val="812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816">
    <w:name w:val="Heading 4"/>
    <w:next w:val="81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17">
    <w:name w:val="Heading 5"/>
    <w:next w:val="812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character" w:styleId="821" w:customStyle="1">
    <w:name w:val="Contents 2"/>
    <w:link w:val="866"/>
    <w:qFormat/>
    <w:rPr>
      <w:rFonts w:ascii="XO Thames" w:hAnsi="XO Thames"/>
      <w:sz w:val="28"/>
    </w:rPr>
  </w:style>
  <w:style w:type="character" w:styleId="822" w:customStyle="1">
    <w:name w:val="Название объекта1"/>
    <w:qFormat/>
    <w:rPr>
      <w:i/>
      <w:sz w:val="24"/>
    </w:rPr>
  </w:style>
  <w:style w:type="character" w:styleId="823" w:customStyle="1">
    <w:name w:val="Текст выноски Знак"/>
    <w:link w:val="859"/>
    <w:qFormat/>
    <w:rPr>
      <w:rFonts w:ascii="Tahoma" w:hAnsi="Tahoma"/>
      <w:sz w:val="16"/>
    </w:rPr>
  </w:style>
  <w:style w:type="character" w:styleId="824" w:customStyle="1">
    <w:name w:val="Contents 4"/>
    <w:link w:val="880"/>
    <w:qFormat/>
    <w:rPr>
      <w:rFonts w:ascii="XO Thames" w:hAnsi="XO Thames"/>
      <w:sz w:val="28"/>
    </w:rPr>
  </w:style>
  <w:style w:type="character" w:styleId="825" w:customStyle="1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styleId="826" w:customStyle="1">
    <w:name w:val="Contents 6"/>
    <w:link w:val="890"/>
    <w:qFormat/>
    <w:rPr>
      <w:rFonts w:ascii="XO Thames" w:hAnsi="XO Thames"/>
      <w:sz w:val="28"/>
    </w:rPr>
  </w:style>
  <w:style w:type="character" w:styleId="827" w:customStyle="1">
    <w:name w:val="Список1"/>
    <w:basedOn w:val="843"/>
    <w:qFormat/>
  </w:style>
  <w:style w:type="character" w:styleId="828" w:customStyle="1">
    <w:name w:val="Contents 7"/>
    <w:link w:val="884"/>
    <w:qFormat/>
    <w:rPr>
      <w:rFonts w:ascii="XO Thames" w:hAnsi="XO Thames"/>
      <w:sz w:val="28"/>
    </w:rPr>
  </w:style>
  <w:style w:type="character" w:styleId="829" w:customStyle="1">
    <w:name w:val="Верхний колонтитул1"/>
    <w:qFormat/>
  </w:style>
  <w:style w:type="character" w:styleId="830" w:customStyle="1">
    <w:name w:val="Заголовок 31"/>
    <w:qFormat/>
    <w:rPr>
      <w:b/>
      <w:sz w:val="27"/>
    </w:rPr>
  </w:style>
  <w:style w:type="character" w:styleId="831" w:customStyle="1">
    <w:name w:val="Колонтитул"/>
    <w:link w:val="864"/>
    <w:qFormat/>
  </w:style>
  <w:style w:type="character" w:styleId="832" w:customStyle="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styleId="833" w:customStyle="1">
    <w:name w:val="Нижний колонтитул1"/>
    <w:qFormat/>
  </w:style>
  <w:style w:type="character" w:styleId="834" w:customStyle="1">
    <w:name w:val="Верхний колонтитул Знак"/>
    <w:basedOn w:val="818"/>
    <w:link w:val="868"/>
    <w:qFormat/>
    <w:rPr>
      <w:rFonts w:ascii="Times New Roman" w:hAnsi="Times New Roman"/>
      <w:sz w:val="24"/>
    </w:rPr>
  </w:style>
  <w:style w:type="character" w:styleId="835" w:customStyle="1">
    <w:name w:val="Contents 1"/>
    <w:link w:val="869"/>
    <w:qFormat/>
    <w:rPr>
      <w:rFonts w:ascii="XO Thames" w:hAnsi="XO Thames"/>
      <w:b/>
      <w:color w:val="000000"/>
      <w:spacing w:val="0"/>
      <w:sz w:val="28"/>
    </w:rPr>
  </w:style>
  <w:style w:type="character" w:styleId="836" w:customStyle="1">
    <w:name w:val="Contents 3"/>
    <w:link w:val="886"/>
    <w:qFormat/>
    <w:rPr>
      <w:rFonts w:ascii="XO Thames" w:hAnsi="XO Thames"/>
      <w:sz w:val="28"/>
    </w:rPr>
  </w:style>
  <w:style w:type="character" w:styleId="837" w:customStyle="1">
    <w:name w:val="Contents 9"/>
    <w:link w:val="871"/>
    <w:qFormat/>
    <w:rPr>
      <w:rFonts w:ascii="XO Thames" w:hAnsi="XO Thames"/>
      <w:color w:val="000000"/>
      <w:spacing w:val="0"/>
      <w:sz w:val="28"/>
    </w:rPr>
  </w:style>
  <w:style w:type="character" w:styleId="838" w:customStyle="1">
    <w:name w:val="Указатель Знак"/>
    <w:link w:val="857"/>
    <w:qFormat/>
  </w:style>
  <w:style w:type="character" w:styleId="839" w:customStyle="1">
    <w:name w:val="Подзаголовок1"/>
    <w:qFormat/>
    <w:rPr>
      <w:rFonts w:ascii="XO Thames" w:hAnsi="XO Thames"/>
      <w:i/>
      <w:sz w:val="24"/>
    </w:rPr>
  </w:style>
  <w:style w:type="character" w:styleId="840" w:customStyle="1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styleId="841">
    <w:name w:val="Hyperlink"/>
    <w:link w:val="873"/>
    <w:rPr>
      <w:rFonts w:ascii="Calibri" w:hAnsi="Calibri"/>
      <w:color w:val="000080"/>
      <w:spacing w:val="0"/>
      <w:sz w:val="22"/>
      <w:u w:val="single"/>
    </w:rPr>
  </w:style>
  <w:style w:type="character" w:styleId="842" w:customStyle="1">
    <w:name w:val="Footnote"/>
    <w:link w:val="875"/>
    <w:qFormat/>
    <w:rPr>
      <w:rFonts w:ascii="XO Thames" w:hAnsi="XO Thames"/>
      <w:color w:val="000000"/>
      <w:spacing w:val="0"/>
      <w:sz w:val="22"/>
    </w:rPr>
  </w:style>
  <w:style w:type="character" w:styleId="843" w:customStyle="1">
    <w:name w:val="Text body"/>
    <w:link w:val="876"/>
    <w:qFormat/>
  </w:style>
  <w:style w:type="character" w:styleId="844" w:customStyle="1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styleId="845" w:customStyle="1">
    <w:name w:val="Header and Footer"/>
    <w:qFormat/>
    <w:rPr>
      <w:rFonts w:ascii="XO Thames" w:hAnsi="XO Thames"/>
      <w:sz w:val="20"/>
    </w:rPr>
  </w:style>
  <w:style w:type="character" w:styleId="846" w:customStyle="1">
    <w:name w:val="Contents 8"/>
    <w:link w:val="879"/>
    <w:qFormat/>
    <w:rPr>
      <w:rFonts w:ascii="XO Thames" w:hAnsi="XO Thames"/>
      <w:color w:val="000000"/>
      <w:spacing w:val="0"/>
      <w:sz w:val="28"/>
    </w:rPr>
  </w:style>
  <w:style w:type="character" w:styleId="847" w:customStyle="1">
    <w:name w:val="Нижний колонтитул Знак"/>
    <w:basedOn w:val="818"/>
    <w:link w:val="881"/>
    <w:qFormat/>
    <w:rPr>
      <w:rFonts w:ascii="Times New Roman" w:hAnsi="Times New Roman"/>
      <w:sz w:val="24"/>
    </w:rPr>
  </w:style>
  <w:style w:type="character" w:styleId="848" w:customStyle="1">
    <w:name w:val="Contents 5"/>
    <w:link w:val="883"/>
    <w:qFormat/>
    <w:rPr>
      <w:rFonts w:ascii="XO Thames" w:hAnsi="XO Thames"/>
      <w:color w:val="000000"/>
      <w:spacing w:val="0"/>
      <w:sz w:val="28"/>
    </w:rPr>
  </w:style>
  <w:style w:type="character" w:styleId="849" w:customStyle="1">
    <w:name w:val="Обычный (веб) Знак"/>
    <w:link w:val="885"/>
    <w:qFormat/>
  </w:style>
  <w:style w:type="character" w:styleId="850" w:customStyle="1">
    <w:name w:val="Название1"/>
    <w:qFormat/>
    <w:rPr>
      <w:rFonts w:ascii="XO Thames" w:hAnsi="XO Thames"/>
      <w:b/>
      <w:caps/>
      <w:sz w:val="40"/>
    </w:rPr>
  </w:style>
  <w:style w:type="character" w:styleId="851" w:customStyle="1">
    <w:name w:val="Заголовок 3 Знак"/>
    <w:basedOn w:val="818"/>
    <w:link w:val="888"/>
    <w:qFormat/>
    <w:rPr>
      <w:rFonts w:ascii="Times New Roman" w:hAnsi="Times New Roman"/>
      <w:b/>
      <w:sz w:val="27"/>
    </w:rPr>
  </w:style>
  <w:style w:type="character" w:styleId="852" w:customStyle="1">
    <w:name w:val="Заголовок"/>
    <w:link w:val="853"/>
    <w:qFormat/>
    <w:rPr>
      <w:rFonts w:ascii="Liberation Sans" w:hAnsi="Liberation Sans"/>
      <w:sz w:val="28"/>
    </w:rPr>
  </w:style>
  <w:style w:type="paragraph" w:styleId="853" w:customStyle="1">
    <w:name w:val="Заголовок"/>
    <w:basedOn w:val="812"/>
    <w:next w:val="854"/>
    <w:link w:val="852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854">
    <w:name w:val="Body Text"/>
    <w:basedOn w:val="812"/>
    <w:pPr>
      <w:spacing w:after="140" w:line="276" w:lineRule="auto"/>
    </w:pPr>
  </w:style>
  <w:style w:type="paragraph" w:styleId="855">
    <w:name w:val="List"/>
    <w:basedOn w:val="876"/>
  </w:style>
  <w:style w:type="paragraph" w:styleId="856">
    <w:name w:val="Caption"/>
    <w:link w:val="677"/>
    <w:qFormat/>
    <w:rPr>
      <w:i/>
      <w:sz w:val="24"/>
    </w:rPr>
  </w:style>
  <w:style w:type="paragraph" w:styleId="857">
    <w:name w:val="index heading"/>
    <w:basedOn w:val="812"/>
    <w:link w:val="838"/>
    <w:qFormat/>
  </w:style>
  <w:style w:type="paragraph" w:styleId="858">
    <w:name w:val="toc 2"/>
    <w:next w:val="812"/>
    <w:uiPriority w:val="39"/>
    <w:pPr>
      <w:ind w:left="200"/>
    </w:pPr>
    <w:rPr>
      <w:rFonts w:ascii="XO Thames" w:hAnsi="XO Thames"/>
      <w:sz w:val="28"/>
    </w:rPr>
  </w:style>
  <w:style w:type="paragraph" w:styleId="859">
    <w:name w:val="Balloon Text"/>
    <w:basedOn w:val="812"/>
    <w:link w:val="823"/>
    <w:qFormat/>
    <w:rPr>
      <w:rFonts w:ascii="Tahoma" w:hAnsi="Tahoma"/>
      <w:sz w:val="16"/>
    </w:rPr>
  </w:style>
  <w:style w:type="paragraph" w:styleId="860" w:customStyle="1">
    <w:name w:val="Основной шрифт абзаца1"/>
    <w:qFormat/>
  </w:style>
  <w:style w:type="paragraph" w:styleId="861">
    <w:name w:val="toc 4"/>
    <w:next w:val="812"/>
    <w:uiPriority w:val="39"/>
    <w:pPr>
      <w:ind w:left="600"/>
    </w:pPr>
    <w:rPr>
      <w:rFonts w:ascii="XO Thames" w:hAnsi="XO Thames"/>
      <w:sz w:val="28"/>
    </w:rPr>
  </w:style>
  <w:style w:type="paragraph" w:styleId="862">
    <w:name w:val="toc 6"/>
    <w:next w:val="812"/>
    <w:uiPriority w:val="39"/>
    <w:pPr>
      <w:ind w:left="1000"/>
    </w:pPr>
    <w:rPr>
      <w:rFonts w:ascii="XO Thames" w:hAnsi="XO Thames"/>
      <w:sz w:val="28"/>
    </w:rPr>
  </w:style>
  <w:style w:type="paragraph" w:styleId="863">
    <w:name w:val="toc 7"/>
    <w:next w:val="812"/>
    <w:uiPriority w:val="39"/>
    <w:pPr>
      <w:ind w:left="1200"/>
    </w:pPr>
    <w:rPr>
      <w:rFonts w:ascii="XO Thames" w:hAnsi="XO Thames"/>
      <w:sz w:val="28"/>
    </w:rPr>
  </w:style>
  <w:style w:type="paragraph" w:styleId="864" w:customStyle="1">
    <w:name w:val="Колонтитул"/>
    <w:link w:val="831"/>
    <w:qFormat/>
    <w:rPr>
      <w:rFonts w:ascii="XO Thames" w:hAnsi="XO Thames"/>
      <w:sz w:val="20"/>
    </w:rPr>
  </w:style>
  <w:style w:type="paragraph" w:styleId="865">
    <w:name w:val="Header"/>
  </w:style>
  <w:style w:type="paragraph" w:styleId="866" w:customStyle="1">
    <w:name w:val="Contents 2"/>
    <w:link w:val="821"/>
    <w:qFormat/>
    <w:rPr>
      <w:rFonts w:ascii="XO Thames" w:hAnsi="XO Thames"/>
      <w:sz w:val="28"/>
    </w:rPr>
  </w:style>
  <w:style w:type="paragraph" w:styleId="867">
    <w:name w:val="Footer"/>
    <w:basedOn w:val="812"/>
    <w:pPr>
      <w:tabs>
        <w:tab w:val="center" w:pos="4677" w:leader="none"/>
        <w:tab w:val="right" w:pos="9355" w:leader="none"/>
      </w:tabs>
    </w:pPr>
  </w:style>
  <w:style w:type="paragraph" w:styleId="868" w:customStyle="1">
    <w:name w:val="Верхний колонтитул Знак"/>
    <w:basedOn w:val="860"/>
    <w:link w:val="834"/>
    <w:qFormat/>
    <w:rPr>
      <w:rFonts w:ascii="Times New Roman" w:hAnsi="Times New Roman"/>
      <w:sz w:val="24"/>
    </w:rPr>
  </w:style>
  <w:style w:type="paragraph" w:styleId="869" w:customStyle="1">
    <w:name w:val="Contents 1"/>
    <w:link w:val="835"/>
    <w:qFormat/>
    <w:rPr>
      <w:rFonts w:ascii="XO Thames" w:hAnsi="XO Thames"/>
      <w:b/>
      <w:sz w:val="28"/>
    </w:rPr>
  </w:style>
  <w:style w:type="paragraph" w:styleId="870">
    <w:name w:val="toc 3"/>
    <w:next w:val="812"/>
    <w:uiPriority w:val="39"/>
    <w:pPr>
      <w:ind w:left="400"/>
    </w:pPr>
    <w:rPr>
      <w:rFonts w:ascii="XO Thames" w:hAnsi="XO Thames"/>
      <w:sz w:val="28"/>
    </w:rPr>
  </w:style>
  <w:style w:type="paragraph" w:styleId="871" w:customStyle="1">
    <w:name w:val="Contents 9"/>
    <w:link w:val="837"/>
    <w:qFormat/>
    <w:rPr>
      <w:rFonts w:ascii="XO Thames" w:hAnsi="XO Thames"/>
      <w:sz w:val="28"/>
    </w:rPr>
  </w:style>
  <w:style w:type="paragraph" w:styleId="872">
    <w:name w:val="Subtitle"/>
    <w:next w:val="812"/>
    <w:uiPriority w:val="11"/>
    <w:qFormat/>
    <w:rPr>
      <w:rFonts w:ascii="XO Thames" w:hAnsi="XO Thames"/>
      <w:i/>
      <w:sz w:val="24"/>
    </w:rPr>
  </w:style>
  <w:style w:type="paragraph" w:styleId="873" w:customStyle="1">
    <w:name w:val="Интернет-ссылка"/>
    <w:link w:val="841"/>
    <w:qFormat/>
    <w:rPr>
      <w:rFonts w:ascii="Calibri" w:hAnsi="Calibri"/>
      <w:color w:val="000080"/>
      <w:u w:val="single"/>
    </w:rPr>
  </w:style>
  <w:style w:type="paragraph" w:styleId="874" w:customStyle="1">
    <w:name w:val="Internet link"/>
    <w:qFormat/>
    <w:rPr>
      <w:rFonts w:ascii="Calibri" w:hAnsi="Calibri"/>
      <w:color w:val="000080"/>
      <w:u w:val="single"/>
    </w:rPr>
  </w:style>
  <w:style w:type="paragraph" w:styleId="875" w:customStyle="1">
    <w:name w:val="Footnote"/>
    <w:link w:val="842"/>
    <w:qFormat/>
    <w:pPr>
      <w:ind w:firstLine="851"/>
      <w:jc w:val="both"/>
    </w:pPr>
    <w:rPr>
      <w:rFonts w:ascii="XO Thames" w:hAnsi="XO Thames"/>
    </w:rPr>
  </w:style>
  <w:style w:type="paragraph" w:styleId="876" w:customStyle="1">
    <w:name w:val="Text body"/>
    <w:link w:val="843"/>
    <w:qFormat/>
  </w:style>
  <w:style w:type="paragraph" w:styleId="877">
    <w:name w:val="toc 1"/>
    <w:next w:val="812"/>
    <w:uiPriority w:val="39"/>
    <w:rPr>
      <w:rFonts w:ascii="XO Thames" w:hAnsi="XO Thames"/>
      <w:b/>
      <w:sz w:val="28"/>
    </w:rPr>
  </w:style>
  <w:style w:type="paragraph" w:styleId="878">
    <w:name w:val="toc 9"/>
    <w:next w:val="812"/>
    <w:uiPriority w:val="39"/>
    <w:pPr>
      <w:ind w:left="1600"/>
    </w:pPr>
    <w:rPr>
      <w:rFonts w:ascii="XO Thames" w:hAnsi="XO Thames"/>
      <w:sz w:val="28"/>
    </w:rPr>
  </w:style>
  <w:style w:type="paragraph" w:styleId="879" w:customStyle="1">
    <w:name w:val="Contents 8"/>
    <w:link w:val="846"/>
    <w:qFormat/>
    <w:rPr>
      <w:rFonts w:ascii="XO Thames" w:hAnsi="XO Thames"/>
      <w:sz w:val="28"/>
    </w:rPr>
  </w:style>
  <w:style w:type="paragraph" w:styleId="880" w:customStyle="1">
    <w:name w:val="Contents 4"/>
    <w:link w:val="824"/>
    <w:qFormat/>
    <w:rPr>
      <w:rFonts w:ascii="XO Thames" w:hAnsi="XO Thames"/>
      <w:sz w:val="28"/>
    </w:rPr>
  </w:style>
  <w:style w:type="paragraph" w:styleId="881" w:customStyle="1">
    <w:name w:val="Нижний колонтитул Знак"/>
    <w:basedOn w:val="860"/>
    <w:link w:val="847"/>
    <w:qFormat/>
    <w:rPr>
      <w:rFonts w:ascii="Times New Roman" w:hAnsi="Times New Roman"/>
      <w:sz w:val="24"/>
    </w:rPr>
  </w:style>
  <w:style w:type="paragraph" w:styleId="882">
    <w:name w:val="toc 8"/>
    <w:next w:val="812"/>
    <w:uiPriority w:val="39"/>
    <w:pPr>
      <w:ind w:left="1400"/>
    </w:pPr>
    <w:rPr>
      <w:rFonts w:ascii="XO Thames" w:hAnsi="XO Thames"/>
      <w:sz w:val="28"/>
    </w:rPr>
  </w:style>
  <w:style w:type="paragraph" w:styleId="883" w:customStyle="1">
    <w:name w:val="Contents 5"/>
    <w:link w:val="848"/>
    <w:qFormat/>
    <w:rPr>
      <w:rFonts w:ascii="XO Thames" w:hAnsi="XO Thames"/>
      <w:sz w:val="28"/>
    </w:rPr>
  </w:style>
  <w:style w:type="paragraph" w:styleId="884" w:customStyle="1">
    <w:name w:val="Contents 7"/>
    <w:link w:val="828"/>
    <w:qFormat/>
    <w:rPr>
      <w:rFonts w:ascii="XO Thames" w:hAnsi="XO Thames"/>
      <w:sz w:val="28"/>
    </w:rPr>
  </w:style>
  <w:style w:type="paragraph" w:styleId="885">
    <w:name w:val="Normal (Web)"/>
    <w:basedOn w:val="812"/>
    <w:link w:val="849"/>
    <w:qFormat/>
    <w:pPr>
      <w:spacing w:beforeAutospacing="1" w:afterAutospacing="1"/>
    </w:pPr>
  </w:style>
  <w:style w:type="paragraph" w:styleId="886" w:customStyle="1">
    <w:name w:val="Contents 3"/>
    <w:link w:val="836"/>
    <w:qFormat/>
    <w:rPr>
      <w:rFonts w:ascii="XO Thames" w:hAnsi="XO Thames"/>
      <w:sz w:val="28"/>
    </w:rPr>
  </w:style>
  <w:style w:type="paragraph" w:styleId="887">
    <w:name w:val="Title"/>
    <w:next w:val="812"/>
    <w:uiPriority w:val="10"/>
    <w:qFormat/>
    <w:rPr>
      <w:rFonts w:ascii="XO Thames" w:hAnsi="XO Thames"/>
      <w:b/>
      <w:caps/>
      <w:sz w:val="40"/>
    </w:rPr>
  </w:style>
  <w:style w:type="paragraph" w:styleId="888" w:customStyle="1">
    <w:name w:val="Заголовок 3 Знак"/>
    <w:basedOn w:val="860"/>
    <w:link w:val="851"/>
    <w:qFormat/>
    <w:rPr>
      <w:rFonts w:ascii="Times New Roman" w:hAnsi="Times New Roman"/>
      <w:b/>
      <w:sz w:val="27"/>
    </w:rPr>
  </w:style>
  <w:style w:type="paragraph" w:styleId="889">
    <w:name w:val="toc 5"/>
    <w:next w:val="812"/>
    <w:uiPriority w:val="39"/>
    <w:pPr>
      <w:ind w:left="800"/>
    </w:pPr>
    <w:rPr>
      <w:rFonts w:ascii="XO Thames" w:hAnsi="XO Thames"/>
      <w:sz w:val="28"/>
    </w:rPr>
  </w:style>
  <w:style w:type="paragraph" w:styleId="890" w:customStyle="1">
    <w:name w:val="Contents 6"/>
    <w:link w:val="826"/>
    <w:qFormat/>
    <w:rPr>
      <w:rFonts w:ascii="XO Thames" w:hAnsi="XO Thames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hart" Target="charts/chart1.xml" /><Relationship Id="rId9" Type="http://schemas.openxmlformats.org/officeDocument/2006/relationships/chart" Target="charts/chart2.xml" /><Relationship Id="rId10" Type="http://schemas.openxmlformats.org/officeDocument/2006/relationships/chart" Target="charts/chart3.xml" /><Relationship Id="rId11" Type="http://schemas.openxmlformats.org/officeDocument/2006/relationships/chart" Target="charts/chart4.xml" /><Relationship Id="rId12" Type="http://schemas.openxmlformats.org/officeDocument/2006/relationships/chart" Target="charts/chart5.xml" /><Relationship Id="rId13" Type="http://schemas.openxmlformats.org/officeDocument/2006/relationships/chart" Target="charts/chart6.xml" /><Relationship Id="rId14" Type="http://schemas.openxmlformats.org/officeDocument/2006/relationships/chart" Target="charts/chart7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_rels/chart3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3.xlsx" /></Relationships>
</file>

<file path=word/charts/_rels/chart4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4.xlsx" /></Relationships>
</file>

<file path=word/charts/_rels/chart5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5.xlsx" /></Relationships>
</file>

<file path=word/charts/_rels/chart6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6.xlsx" /></Relationships>
</file>

<file path=word/charts/_rels/chart7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7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plotArea>
      <c:layout/>
      <c:barChart>
        <c:barDir val="bar"/>
        <c:grouping val="clustered"/>
        <c:varyColors val="1"/>
        <c:ser>
          <c:idx val="0"/>
          <c:order val="0"/>
          <c:tx>
            <c:strRef>
              <c:f>Июнь_26!$B$9</c:f>
              <c:strCache>
                <c:ptCount val="1"/>
                <c:pt idx="0">
                  <c:v xml:space="preserve">2026 год</c:v>
                </c:pt>
              </c:strCache>
            </c:strRef>
          </c:tx>
          <c:spPr bwMode="auto">
            <a:prstGeom prst="rect">
              <a:avLst/>
            </a:prstGeom>
            <a:solidFill>
              <a:srgbClr val="4472C4"/>
            </a:solidFill>
            <a:ln>
              <a:noFill/>
            </a:ln>
          </c:spPr>
          <c:dPt>
            <c:idx val="0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1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2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3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4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5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Lbls>
            <c:dLbl>
              <c:idx val="4"/>
              <c:dLblPos val="outEnd"/>
              <c:layout>
                <c:manualLayout>
                  <c:x val="0.000000"/>
                  <c:y val="0.02215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5"/>
              <c:dLblPos val="outEnd"/>
              <c:layout>
                <c:manualLayout>
                  <c:x val="0.000000"/>
                  <c:y val="0.01772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outEnd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Июнь_26!$A$3:$A$8</c:f>
              <c:strCache>
                <c:ptCount val="6"/>
                <c:pt idx="0">
                  <c:v>январь</c:v>
                </c:pt>
                <c:pt idx="1">
                  <c:v>январь-февраль</c:v>
                </c:pt>
                <c:pt idx="2">
                  <c:v>январь-март</c:v>
                </c:pt>
                <c:pt idx="3">
                  <c:v>январь-апрель</c:v>
                </c:pt>
                <c:pt idx="4">
                  <c:v>январь-май</c:v>
                </c:pt>
                <c:pt idx="5">
                  <c:v>январь-июнь</c:v>
                </c:pt>
              </c:strCache>
            </c:strRef>
          </c:cat>
          <c:val>
            <c:numRef>
              <c:f>Июнь_26!$B$3:$B$8</c:f>
              <c:numCache>
                <c:formatCode>General</c:formatCode>
                <c:ptCount val="6"/>
                <c:pt idx="0" formatCode="General">
                  <c:v>108.2</c:v>
                </c:pt>
                <c:pt idx="1" formatCode="General">
                  <c:v>106.9</c:v>
                </c:pt>
                <c:pt idx="2" formatCode="General">
                  <c:v>107.3</c:v>
                </c:pt>
                <c:pt idx="3" formatCode="0.0">
                  <c:v>107</c:v>
                </c:pt>
                <c:pt idx="4" formatCode="General">
                  <c:v>107.6</c:v>
                </c:pt>
                <c:pt idx="5" formatCode="General">
                  <c:v>108.1</c:v>
                </c:pt>
              </c:numCache>
            </c:numRef>
          </c:val>
        </c:ser>
        <c:ser>
          <c:idx val="1"/>
          <c:order val="1"/>
          <c:tx>
            <c:strRef>
              <c:f>Июнь_26!$C$9</c:f>
              <c:strCache>
                <c:ptCount val="1"/>
                <c:pt idx="0">
                  <c:v xml:space="preserve">2025 год</c:v>
                </c:pt>
              </c:strCache>
            </c:strRef>
          </c:tx>
          <c:spPr bwMode="auto">
            <a:prstGeom prst="rect">
              <a:avLst/>
            </a:prstGeom>
            <a:solidFill>
              <a:srgbClr val="ED7D31"/>
            </a:solidFill>
            <a:ln>
              <a:noFill/>
            </a:ln>
          </c:spPr>
          <c:dPt>
            <c:idx val="0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1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2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3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4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5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Lbls>
            <c:dLbl>
              <c:idx val="1"/>
              <c:dLblPos val="outEnd"/>
              <c:layout>
                <c:manualLayout>
                  <c:x val="0.000000"/>
                  <c:y val="-0.01772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0"/>
              <c:dLblPos val="outEnd"/>
              <c:layout>
                <c:manualLayout>
                  <c:x val="-0.003460"/>
                  <c:y val="-0.03101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2"/>
              <c:dLblPos val="outEnd"/>
              <c:layout>
                <c:manualLayout>
                  <c:x val="0.000000"/>
                  <c:y val="-0.01329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3"/>
              <c:dLblPos val="outEnd"/>
              <c:layout>
                <c:manualLayout>
                  <c:x val="-0.003460"/>
                  <c:y val="-0.01329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outEnd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Июнь_26!$A$3:$A$8</c:f>
              <c:strCache>
                <c:ptCount val="6"/>
                <c:pt idx="0">
                  <c:v>январь</c:v>
                </c:pt>
                <c:pt idx="1">
                  <c:v>январь-февраль</c:v>
                </c:pt>
                <c:pt idx="2">
                  <c:v>январь-март</c:v>
                </c:pt>
                <c:pt idx="3">
                  <c:v>январь-апрель</c:v>
                </c:pt>
                <c:pt idx="4">
                  <c:v>январь-май</c:v>
                </c:pt>
                <c:pt idx="5">
                  <c:v>январь-июнь</c:v>
                </c:pt>
              </c:strCache>
            </c:strRef>
          </c:cat>
          <c:val>
            <c:numRef>
              <c:f>Июнь_26!$C$3:$C$8</c:f>
              <c:numCache>
                <c:formatCode>General</c:formatCode>
                <c:ptCount val="6"/>
                <c:pt idx="0" formatCode="General">
                  <c:v>108</c:v>
                </c:pt>
                <c:pt idx="1" formatCode="General">
                  <c:v>105.2</c:v>
                </c:pt>
                <c:pt idx="2" formatCode="General">
                  <c:v>105.9</c:v>
                </c:pt>
                <c:pt idx="3" formatCode="0.0">
                  <c:v>106.9</c:v>
                </c:pt>
                <c:pt idx="4" formatCode="General">
                  <c:v>108.1</c:v>
                </c:pt>
                <c:pt idx="5" formatCode="General">
                  <c:v>108.7</c:v>
                </c:pt>
              </c:numCache>
            </c:numRef>
          </c:val>
        </c:ser>
        <c:dLbls>
          <c:dLblPos val="outEnd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gapWidth val="150"/>
        <c:overlap val="0"/>
        <c:axId val="1866169537"/>
        <c:axId val="1866169538"/>
      </c:barChart>
      <c:catAx>
        <c:axId val="1866169537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 w="9363">
            <a:solidFill>
              <a:srgbClr val="D9D9D9"/>
            </a:solidFill>
          </a:ln>
        </c:spPr>
        <c:txPr>
          <a:bodyPr/>
          <a:lstStyle/>
          <a:p>
            <a:pPr>
              <a:defRPr sz="900" u="none">
                <a:solidFill>
                  <a:srgbClr val="595959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38"/>
        <c:crosses val="autoZero"/>
        <c:auto val="1"/>
        <c:lblOffset val="100"/>
        <c:tickMarkSkip val="1"/>
        <c:noMultiLvlLbl val="0"/>
      </c:catAx>
      <c:valAx>
        <c:axId val="1866169538"/>
        <c:scaling>
          <c:orientation val="minMax"/>
        </c:scaling>
        <c:delete val="0"/>
        <c:axPos val="b"/>
        <c:majorGridlines>
          <c:spPr bwMode="auto">
            <a:prstGeom prst="rect">
              <a:avLst/>
            </a:prstGeom>
            <a:ln w="9363">
              <a:solidFill>
                <a:srgbClr val="D9D9D9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</c:spPr>
        <c:txPr>
          <a:bodyPr/>
          <a:lstStyle/>
          <a:p>
            <a:pPr>
              <a:defRPr sz="900" u="none">
                <a:solidFill>
                  <a:srgbClr val="595959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37"/>
        <c:crosses val="autoZero"/>
        <c:crossBetween val="between"/>
      </c:valAx>
      <c:spPr bwMode="auto">
        <a:prstGeom prst="rect">
          <a:avLst/>
        </a:prstGeom>
        <a:noFill/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</c:spPr>
      <c:txPr>
        <a:bodyPr/>
        <a:lstStyle/>
        <a:p>
          <a:pPr>
            <a:defRPr sz="900" u="none">
              <a:solidFill>
                <a:srgbClr val="595959"/>
              </a:solidFill>
              <a:latin typeface="Times New Roman"/>
              <a:cs typeface="Times New Roman"/>
            </a:defRPr>
          </a:pPr>
          <a:endParaRPr/>
        </a:p>
      </c:txPr>
    </c:legend>
    <c:plotVisOnly val="1"/>
    <c:dispBlanksAs val="zero"/>
    <c:showDLblsOverMax val="1"/>
  </c:chart>
  <c:spPr bwMode="auto">
    <a:xfrm>
      <a:off x="0" y="0"/>
      <a:ext cx="5495155" cy="2149519"/>
    </a:xfrm>
    <a:prstGeom prst="rect">
      <a:avLst/>
    </a:prstGeom>
    <a:solidFill>
      <a:srgbClr val="FFFFFF"/>
    </a:solidFill>
    <a:ln w="9363">
      <a:solidFill>
        <a:srgbClr val="D9D9D9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plotArea>
      <c:layout/>
      <c:lineChart>
        <c:grouping val="standard"/>
        <c:varyColors val="0"/>
        <c:ser>
          <c:idx val="0"/>
          <c:order val="0"/>
          <c:spPr bwMode="auto">
            <a:prstGeom prst="rect">
              <a:avLst/>
            </a:prstGeom>
            <a:noFill/>
            <a:ln w="28801">
              <a:solidFill>
                <a:srgbClr val="004586"/>
              </a:solidFill>
            </a:ln>
          </c:spPr>
          <c:marker>
            <c:symbol val="square"/>
            <c:spPr bwMode="auto">
              <a:prstGeom prst="rect">
                <a:avLst/>
              </a:prstGeom>
              <a:noFill/>
              <a:ln/>
            </c:spPr>
          </c:marker>
          <c:dPt>
            <c:idx val="0"/>
            <c:spPr bwMode="auto">
              <a:prstGeom prst="rect">
                <a:avLst/>
              </a:prstGeom>
              <a:noFill/>
            </c:spPr>
          </c:dPt>
          <c:dPt>
            <c:idx val="1"/>
            <c:spPr bwMode="auto">
              <a:prstGeom prst="rect">
                <a:avLst/>
              </a:prstGeom>
              <a:noFill/>
            </c:spPr>
          </c:dPt>
          <c:dPt>
            <c:idx val="2"/>
          </c:dPt>
          <c:dPt>
            <c:idx val="3"/>
          </c:dPt>
          <c:dPt>
            <c:idx val="4"/>
          </c:dPt>
          <c:dPt>
            <c:idx val="5"/>
          </c:dPt>
          <c:dPt>
            <c:idx val="6"/>
          </c:dPt>
          <c:dPt>
            <c:idx val="7"/>
          </c:dPt>
          <c:dPt>
            <c:idx val="8"/>
          </c:dPt>
          <c:dPt>
            <c:idx val="9"/>
          </c:dPt>
          <c:dPt>
            <c:idx val="10"/>
          </c:dPt>
          <c:dPt>
            <c:idx val="11"/>
          </c:dPt>
          <c:dPt>
            <c:idx val="12"/>
          </c:dPt>
          <c:dPt>
            <c:idx val="13"/>
          </c:dPt>
          <c:dLbls>
            <c:dLblPos val="t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Июнь_26!$A$18:$A$31</c:f>
              <c:strCache>
                <c:ptCount val="14"/>
                <c:pt idx="0">
                  <c:v xml:space="preserve">Республика Мордовия</c:v>
                </c:pt>
                <c:pt idx="1">
                  <c:v xml:space="preserve">Республика Башкортостан</c:v>
                </c:pt>
                <c:pt idx="2">
                  <c:v xml:space="preserve">Республика Марий Эл</c:v>
                </c:pt>
                <c:pt idx="3">
                  <c:v xml:space="preserve">Республика Татарстан</c:v>
                </c:pt>
                <c:pt idx="4">
                  <c:v xml:space="preserve">Удмуртская Республика</c:v>
                </c:pt>
                <c:pt idx="5">
                  <c:v xml:space="preserve">Чувашская Республика</c:v>
                </c:pt>
                <c:pt idx="6">
                  <c:v xml:space="preserve">Кировская область</c:v>
                </c:pt>
                <c:pt idx="7">
                  <c:v xml:space="preserve">Нижегородская область</c:v>
                </c:pt>
                <c:pt idx="8">
                  <c:v xml:space="preserve">Оренбургская область</c:v>
                </c:pt>
                <c:pt idx="9">
                  <c:v xml:space="preserve">Пензенская область</c:v>
                </c:pt>
                <c:pt idx="10">
                  <c:v xml:space="preserve">Пермский край</c:v>
                </c:pt>
                <c:pt idx="11">
                  <c:v xml:space="preserve">Самарская область</c:v>
                </c:pt>
                <c:pt idx="12">
                  <c:v xml:space="preserve">Саратовская область</c:v>
                </c:pt>
                <c:pt idx="13">
                  <c:v xml:space="preserve">Ульяновская область</c:v>
                </c:pt>
              </c:strCache>
            </c:strRef>
          </c:cat>
          <c:val>
            <c:numRef>
              <c:f>Июнь_26!$B$18:$B$31</c:f>
              <c:numCache>
                <c:formatCode>General</c:formatCode>
                <c:ptCount val="14"/>
                <c:pt idx="0" formatCode="General">
                  <c:v>108.1</c:v>
                </c:pt>
                <c:pt idx="1" formatCode="0.0">
                  <c:v>111.4</c:v>
                </c:pt>
                <c:pt idx="2" formatCode="General">
                  <c:v>110.1</c:v>
                </c:pt>
                <c:pt idx="3" formatCode="0.0">
                  <c:v>107.2</c:v>
                </c:pt>
                <c:pt idx="4" formatCode="0.0">
                  <c:v>108.4</c:v>
                </c:pt>
                <c:pt idx="5" formatCode="0.0">
                  <c:v>106.6</c:v>
                </c:pt>
                <c:pt idx="6" formatCode="0.0">
                  <c:v>105.8</c:v>
                </c:pt>
                <c:pt idx="7" formatCode="0.0">
                  <c:v>105.6</c:v>
                </c:pt>
                <c:pt idx="8" formatCode="0.0">
                  <c:v>106.8</c:v>
                </c:pt>
                <c:pt idx="9" formatCode="0.0">
                  <c:v>108.7</c:v>
                </c:pt>
                <c:pt idx="10" formatCode="0.0">
                  <c:v>106.6</c:v>
                </c:pt>
                <c:pt idx="11" formatCode="0.0">
                  <c:v>103.1</c:v>
                </c:pt>
                <c:pt idx="12" formatCode="0.0">
                  <c:v>105.1</c:v>
                </c:pt>
                <c:pt idx="13" formatCode="General">
                  <c:v>108.6</c:v>
                </c:pt>
              </c:numCache>
            </c:numRef>
          </c:val>
          <c:smooth val="0"/>
        </c:ser>
        <c:dLbls>
          <c:dLblPos val="t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smooth val="0"/>
        <c:axId val="1866169543"/>
        <c:axId val="1866169544"/>
      </c:lineChart>
      <c:catAx>
        <c:axId val="186616954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 w="6483">
            <a:solidFill>
              <a:srgbClr val="B3B3B3"/>
            </a:solidFill>
          </a:ln>
        </c:spPr>
        <c:txPr>
          <a:bodyPr/>
          <a:lstStyle/>
          <a:p>
            <a:pPr>
              <a:defRPr sz="1000" u="none">
                <a:solidFill>
                  <a:srgbClr val="000000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44"/>
        <c:crosses val="autoZero"/>
        <c:auto val="1"/>
        <c:lblOffset val="100"/>
        <c:tickMarkSkip val="1"/>
        <c:noMultiLvlLbl val="0"/>
      </c:catAx>
      <c:valAx>
        <c:axId val="1866169544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6483">
              <a:solidFill>
                <a:srgbClr val="B3B3B3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 w="6483">
            <a:solidFill>
              <a:srgbClr val="B3B3B3"/>
            </a:solidFill>
          </a:ln>
        </c:spPr>
        <c:txPr>
          <a:bodyPr/>
          <a:lstStyle/>
          <a:p>
            <a:pPr>
              <a:defRPr sz="1000" u="none">
                <a:solidFill>
                  <a:srgbClr val="000000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43"/>
        <c:crosses val="autoZero"/>
        <c:crossBetween val="between"/>
      </c:valAx>
      <c:spPr bwMode="auto">
        <a:prstGeom prst="rect">
          <a:avLst/>
        </a:prstGeom>
        <a:noFill/>
      </c:spPr>
    </c:plotArea>
    <c:plotVisOnly val="1"/>
    <c:dispBlanksAs val="zero"/>
    <c:showDLblsOverMax val="1"/>
  </c:chart>
  <c:spPr bwMode="auto">
    <a:xfrm>
      <a:off x="0" y="0"/>
      <a:ext cx="5938273" cy="2746152"/>
    </a:xfrm>
    <a:prstGeom prst="rect">
      <a:avLst/>
    </a:prstGeom>
    <a:solidFill>
      <a:srgbClr val="FFFFFF"/>
    </a:solidFill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floor/>
    <c:backWall/>
    <c:plotArea>
      <c:layout>
        <c:manualLayout>
          <c:layoutTarget val="inner"/>
          <c:xMode val="edge"/>
          <c:yMode val="edge"/>
          <c:x val="0.024790"/>
          <c:y val="0.057010"/>
          <c:w val="0.943320"/>
          <c:h val="0.548970"/>
        </c:manualLayout>
      </c:layout>
      <c:pie3DChart>
        <c:varyColors val="0"/>
        <c:ser>
          <c:idx val="0"/>
          <c:order val="0"/>
          <c:spPr bwMode="auto">
            <a:prstGeom prst="rect">
              <a:avLst/>
            </a:prstGeom>
            <a:ln>
              <a:noFill/>
            </a:ln>
          </c:spPr>
          <c:explosion val="0"/>
          <c:dPt>
            <c:idx val="0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1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2"/>
            <c:spPr bwMode="auto">
              <a:prstGeom prst="rect">
                <a:avLst/>
              </a:prstGeom>
              <a:solidFill>
                <a:srgbClr val="A5A5A5"/>
              </a:solidFill>
            </c:spPr>
          </c:dPt>
          <c:dPt>
            <c:idx val="3"/>
            <c:spPr bwMode="auto">
              <a:prstGeom prst="rect">
                <a:avLst/>
              </a:prstGeom>
              <a:solidFill>
                <a:srgbClr val="FFC000"/>
              </a:solidFill>
            </c:spPr>
          </c:dPt>
          <c:dLbls>
            <c:dLbl>
              <c:idx val="1"/>
              <c:dLblPos val="outEnd"/>
              <c:layout>
                <c:manualLayout>
                  <c:x val="-0.085010"/>
                  <c:y val="0.07076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2"/>
              <c:dLblPos val="outEnd"/>
              <c:layout>
                <c:manualLayout>
                  <c:x val="-0.038960"/>
                  <c:y val="0.05232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outEnd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Июнь_26!$A$45:$A$48</c:f>
              <c:strCache>
                <c:ptCount val="4"/>
                <c:pt idx="0">
                  <c:v xml:space="preserve">организации, не являющиеся субъектами малого и среднего предпринимательства;</c:v>
                </c:pt>
                <c:pt idx="1">
                  <c:v xml:space="preserve">субъекты среднего предпринимательства;</c:v>
                </c:pt>
                <c:pt idx="2">
                  <c:v xml:space="preserve">субъекты малого предпринимательства;</c:v>
                </c:pt>
                <c:pt idx="3">
                  <c:v xml:space="preserve">организации со средней численностью работников до 15 человек, не являющиеся субъектами малого предпринимательства;</c:v>
                </c:pt>
              </c:strCache>
            </c:strRef>
          </c:cat>
          <c:val>
            <c:numRef>
              <c:f>Июнь_26!$B$45:$B$48</c:f>
              <c:numCache>
                <c:formatCode>0.0</c:formatCode>
                <c:ptCount val="4"/>
                <c:pt idx="0">
                  <c:v>48.2</c:v>
                </c:pt>
                <c:pt idx="1">
                  <c:v>19.1</c:v>
                </c:pt>
                <c:pt idx="2">
                  <c:v>32.6</c:v>
                </c:pt>
                <c:pt idx="3">
                  <c:v>0.1</c:v>
                </c:pt>
              </c:numCache>
            </c:numRef>
          </c:val>
        </c:ser>
        <c:dLbls>
          <c:dLblPos val="outEnd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</c:pie3DChart>
      <c:spPr bwMode="auto">
        <a:prstGeom prst="rect">
          <a:avLst/>
        </a:prstGeom>
        <a:noFill/>
        <a:ln>
          <a:noFill/>
        </a:ln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</c:spPr>
      <c:txPr>
        <a:bodyPr/>
        <a:lstStyle/>
        <a:p>
          <a:pPr>
            <a:defRPr sz="900" u="none">
              <a:solidFill>
                <a:srgbClr val="595959"/>
              </a:solidFill>
              <a:latin typeface="Times New Roman"/>
              <a:cs typeface="Times New Roman"/>
            </a:defRPr>
          </a:pPr>
          <a:endParaRPr/>
        </a:p>
      </c:txPr>
    </c:legend>
    <c:plotVisOnly val="1"/>
    <c:dispBlanksAs val="zero"/>
    <c:showDLblsOverMax val="1"/>
  </c:chart>
  <c:spPr bwMode="auto">
    <a:xfrm>
      <a:off x="0" y="0"/>
      <a:ext cx="5378060" cy="3007067"/>
    </a:xfrm>
    <a:prstGeom prst="rect">
      <a:avLst/>
    </a:prstGeom>
    <a:solidFill>
      <a:srgbClr val="FFFFFF"/>
    </a:solidFill>
    <a:ln w="9363">
      <a:solidFill>
        <a:srgbClr val="D9D9D9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floor/>
    <c:backWall/>
    <c:plotArea>
      <c:layout/>
      <c:pie3DChart>
        <c:varyColors val="0"/>
        <c:ser>
          <c:idx val="0"/>
          <c:order val="0"/>
          <c:spPr bwMode="auto">
            <a:prstGeom prst="rect">
              <a:avLst/>
            </a:prstGeom>
            <a:ln>
              <a:noFill/>
            </a:ln>
          </c:spPr>
          <c:explosion val="0"/>
          <c:dPt>
            <c:idx val="0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1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2"/>
            <c:spPr bwMode="auto">
              <a:prstGeom prst="rect">
                <a:avLst/>
              </a:prstGeom>
              <a:solidFill>
                <a:srgbClr val="A5A5A5"/>
              </a:solidFill>
            </c:spPr>
          </c:dPt>
          <c:dPt>
            <c:idx val="3"/>
            <c:spPr bwMode="auto">
              <a:prstGeom prst="rect">
                <a:avLst/>
              </a:prstGeom>
              <a:solidFill>
                <a:srgbClr val="FFC000"/>
              </a:solidFill>
            </c:spPr>
          </c:dPt>
          <c:dLbls>
            <c:dLbl>
              <c:idx val="2"/>
              <c:dLblPos val="outEnd"/>
              <c:layout>
                <c:manualLayout>
                  <c:x val="-0.052080"/>
                  <c:y val="0.02075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"/>
              <c:dLblPos val="outEnd"/>
              <c:layout>
                <c:manualLayout>
                  <c:x val="0.002510"/>
                  <c:y val="0.09897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0"/>
              <c:dLblPos val="outEnd"/>
              <c:layout>
                <c:manualLayout>
                  <c:x val="0.054170"/>
                  <c:y val="0.00000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outEnd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Июнь_26!$A$65:$A$68</c:f>
              <c:strCache>
                <c:ptCount val="4"/>
                <c:pt idx="0">
                  <c:v xml:space="preserve">организации, не являющиеся субъектами малого и среднего предпринимательства;</c:v>
                </c:pt>
                <c:pt idx="1">
                  <c:v xml:space="preserve">субъекты среднего предпринимательства;</c:v>
                </c:pt>
                <c:pt idx="2">
                  <c:v xml:space="preserve">субъекты малого предпринимательства;</c:v>
                </c:pt>
                <c:pt idx="3">
                  <c:v xml:space="preserve">организации со среднесписочной численностью работников до 15 человек, не являющиеся субъектами малого предпринимательства;</c:v>
                </c:pt>
              </c:strCache>
            </c:strRef>
          </c:cat>
          <c:val>
            <c:numRef>
              <c:f>Июнь_26!$B$65:$B$68</c:f>
              <c:numCache>
                <c:formatCode>0.0</c:formatCode>
                <c:ptCount val="4"/>
                <c:pt idx="0">
                  <c:v>57.9</c:v>
                </c:pt>
                <c:pt idx="1">
                  <c:v>3.4</c:v>
                </c:pt>
                <c:pt idx="2">
                  <c:v>38.5</c:v>
                </c:pt>
                <c:pt idx="3">
                  <c:v>0.2</c:v>
                </c:pt>
              </c:numCache>
            </c:numRef>
          </c:val>
        </c:ser>
        <c:dLbls>
          <c:dLblPos val="outEnd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</c:pie3DChart>
      <c:spPr bwMode="auto">
        <a:prstGeom prst="rect">
          <a:avLst/>
        </a:prstGeom>
        <a:noFill/>
        <a:ln>
          <a:noFill/>
        </a:ln>
      </c:spPr>
    </c:plotArea>
    <c:legend>
      <c:legendPos val="b"/>
      <c:layout/>
      <c:overlay val="0"/>
      <c:spPr bwMode="auto">
        <a:prstGeom prst="rect">
          <a:avLst/>
        </a:prstGeom>
        <a:noFill/>
        <a:ln>
          <a:noFill/>
        </a:ln>
      </c:spPr>
      <c:txPr>
        <a:bodyPr/>
        <a:lstStyle/>
        <a:p>
          <a:pPr>
            <a:defRPr sz="900" u="none">
              <a:solidFill>
                <a:srgbClr val="595959"/>
              </a:solidFill>
              <a:latin typeface="Times New Roman"/>
              <a:cs typeface="Times New Roman"/>
            </a:defRPr>
          </a:pPr>
          <a:endParaRPr/>
        </a:p>
      </c:txPr>
    </c:legend>
    <c:plotVisOnly val="1"/>
    <c:dispBlanksAs val="zero"/>
    <c:showDLblsOverMax val="1"/>
  </c:chart>
  <c:spPr bwMode="auto">
    <a:xfrm>
      <a:off x="0" y="0"/>
      <a:ext cx="4908290" cy="2983105"/>
    </a:xfrm>
    <a:prstGeom prst="rect">
      <a:avLst/>
    </a:prstGeom>
    <a:solidFill>
      <a:srgbClr val="FFFFFF"/>
    </a:solidFill>
    <a:ln w="9363">
      <a:solidFill>
        <a:srgbClr val="D9D9D9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plotArea>
      <c:layout/>
      <c:lineChart>
        <c:grouping val="standard"/>
        <c:varyColors val="0"/>
        <c:ser>
          <c:idx val="0"/>
          <c:order val="0"/>
          <c:spPr bwMode="auto">
            <a:prstGeom prst="rect">
              <a:avLst/>
            </a:prstGeom>
            <a:noFill/>
            <a:ln w="28438">
              <a:solidFill>
                <a:srgbClr val="4472C4"/>
              </a:solidFill>
              <a:round/>
            </a:ln>
          </c:spPr>
          <c:marker>
            <c:symbol val="diamond"/>
            <c:spPr bwMode="auto">
              <a:prstGeom prst="rect">
                <a:avLst/>
              </a:prstGeom>
              <a:noFill/>
              <a:ln/>
            </c:spPr>
          </c:marker>
          <c:dPt>
            <c:idx val="0"/>
            <c:spPr bwMode="auto">
              <a:prstGeom prst="rect">
                <a:avLst/>
              </a:prstGeom>
              <a:noFill/>
            </c:spPr>
          </c:dPt>
          <c:dPt>
            <c:idx val="1"/>
            <c:spPr bwMode="auto">
              <a:prstGeom prst="rect">
                <a:avLst/>
              </a:prstGeom>
              <a:noFill/>
            </c:spPr>
          </c:dPt>
          <c:dPt>
            <c:idx val="2"/>
            <c:spPr bwMode="auto">
              <a:prstGeom prst="rect">
                <a:avLst/>
              </a:prstGeom>
              <a:noFill/>
            </c:spPr>
          </c:dPt>
          <c:dPt>
            <c:idx val="3"/>
            <c:spPr bwMode="auto">
              <a:prstGeom prst="rect">
                <a:avLst/>
              </a:prstGeom>
              <a:noFill/>
            </c:spPr>
          </c:dPt>
          <c:dPt>
            <c:idx val="4"/>
            <c:spPr bwMode="auto">
              <a:prstGeom prst="rect">
                <a:avLst/>
              </a:prstGeom>
              <a:noFill/>
            </c:spPr>
          </c:dPt>
          <c:dPt>
            <c:idx val="5"/>
            <c:spPr bwMode="auto">
              <a:prstGeom prst="rect">
                <a:avLst/>
              </a:prstGeom>
              <a:noFill/>
            </c:spPr>
          </c:dPt>
          <c:dPt>
            <c:idx val="6"/>
            <c:spPr bwMode="auto">
              <a:prstGeom prst="rect">
                <a:avLst/>
              </a:prstGeom>
              <a:noFill/>
            </c:spPr>
          </c:dPt>
          <c:dPt>
            <c:idx val="7"/>
            <c:spPr bwMode="auto">
              <a:prstGeom prst="rect">
                <a:avLst/>
              </a:prstGeom>
              <a:noFill/>
            </c:spPr>
          </c:dPt>
          <c:dPt>
            <c:idx val="8"/>
            <c:spPr bwMode="auto">
              <a:prstGeom prst="rect">
                <a:avLst/>
              </a:prstGeom>
              <a:noFill/>
            </c:spPr>
          </c:dPt>
          <c:dPt>
            <c:idx val="9"/>
            <c:spPr bwMode="auto">
              <a:prstGeom prst="rect">
                <a:avLst/>
              </a:prstGeom>
              <a:noFill/>
            </c:spPr>
          </c:dPt>
          <c:dPt>
            <c:idx val="10"/>
            <c:spPr bwMode="auto">
              <a:prstGeom prst="rect">
                <a:avLst/>
              </a:prstGeom>
              <a:noFill/>
            </c:spPr>
          </c:dPt>
          <c:dPt>
            <c:idx val="11"/>
            <c:spPr bwMode="auto">
              <a:prstGeom prst="rect">
                <a:avLst/>
              </a:prstGeom>
              <a:noFill/>
            </c:spPr>
          </c:dPt>
          <c:dPt>
            <c:idx val="12"/>
            <c:spPr bwMode="auto">
              <a:prstGeom prst="rect">
                <a:avLst/>
              </a:prstGeom>
              <a:noFill/>
            </c:spPr>
          </c:dPt>
          <c:dPt>
            <c:idx val="13"/>
            <c:spPr bwMode="auto">
              <a:prstGeom prst="rect">
                <a:avLst/>
              </a:prstGeom>
              <a:noFill/>
            </c:spPr>
          </c:dPt>
          <c:dLbls>
            <c:dLbl>
              <c:idx val="2"/>
              <c:dLblPos val="t"/>
              <c:layout>
                <c:manualLayout>
                  <c:x val="-0.001630"/>
                  <c:y val="0.10869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5"/>
              <c:dLblPos val="t"/>
              <c:layout>
                <c:manualLayout>
                  <c:x val="0.022820"/>
                  <c:y val="0.08333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0"/>
              <c:dLblPos val="t"/>
              <c:layout>
                <c:manualLayout>
                  <c:x val="0.003260"/>
                  <c:y val="0.10869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t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Июнь_26!$A$86:$A$99</c:f>
              <c:strCache>
                <c:ptCount val="14"/>
                <c:pt idx="0">
                  <c:v xml:space="preserve">Республика Мордовия</c:v>
                </c:pt>
                <c:pt idx="1">
                  <c:v xml:space="preserve">Республика Башкортостан</c:v>
                </c:pt>
                <c:pt idx="2">
                  <c:v xml:space="preserve">Республика Марий Эл</c:v>
                </c:pt>
                <c:pt idx="3">
                  <c:v xml:space="preserve">Республика Татарстан</c:v>
                </c:pt>
                <c:pt idx="4">
                  <c:v xml:space="preserve">Удмуртская Республика</c:v>
                </c:pt>
                <c:pt idx="5">
                  <c:v xml:space="preserve">Чувашская Республика</c:v>
                </c:pt>
                <c:pt idx="6">
                  <c:v xml:space="preserve">Кировская область</c:v>
                </c:pt>
                <c:pt idx="7">
                  <c:v xml:space="preserve">Нижегородская область</c:v>
                </c:pt>
                <c:pt idx="8">
                  <c:v xml:space="preserve">Оренбургская область</c:v>
                </c:pt>
                <c:pt idx="9">
                  <c:v xml:space="preserve">Пензенская область</c:v>
                </c:pt>
                <c:pt idx="10">
                  <c:v xml:space="preserve">Пермский край</c:v>
                </c:pt>
                <c:pt idx="11">
                  <c:v xml:space="preserve">Самарская область</c:v>
                </c:pt>
                <c:pt idx="12">
                  <c:v xml:space="preserve">Саратовская область</c:v>
                </c:pt>
                <c:pt idx="13">
                  <c:v xml:space="preserve">Ульяновская область</c:v>
                </c:pt>
              </c:strCache>
            </c:strRef>
          </c:cat>
          <c:val>
            <c:numRef>
              <c:f>Июнь_26!$B$86:$B$99</c:f>
              <c:numCache>
                <c:formatCode>0.0</c:formatCode>
                <c:ptCount val="14"/>
                <c:pt idx="0">
                  <c:v>119.1</c:v>
                </c:pt>
                <c:pt idx="1">
                  <c:v>113.4</c:v>
                </c:pt>
                <c:pt idx="2">
                  <c:v>86.7</c:v>
                </c:pt>
                <c:pt idx="3">
                  <c:v>113.1</c:v>
                </c:pt>
                <c:pt idx="4">
                  <c:v>110.7</c:v>
                </c:pt>
                <c:pt idx="5">
                  <c:v>72.6</c:v>
                </c:pt>
                <c:pt idx="6">
                  <c:v>93.6</c:v>
                </c:pt>
                <c:pt idx="7">
                  <c:v>105.8</c:v>
                </c:pt>
                <c:pt idx="8">
                  <c:v>108.8</c:v>
                </c:pt>
                <c:pt idx="9">
                  <c:v>93.8</c:v>
                </c:pt>
                <c:pt idx="10">
                  <c:v>86.3</c:v>
                </c:pt>
                <c:pt idx="11">
                  <c:v>109.8</c:v>
                </c:pt>
                <c:pt idx="12">
                  <c:v>103.2</c:v>
                </c:pt>
                <c:pt idx="13">
                  <c:v>104.8</c:v>
                </c:pt>
              </c:numCache>
            </c:numRef>
          </c:val>
          <c:smooth val="0"/>
        </c:ser>
        <c:dLbls>
          <c:dLblPos val="t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smooth val="0"/>
        <c:axId val="1866169545"/>
        <c:axId val="1866169546"/>
      </c:lineChart>
      <c:catAx>
        <c:axId val="186616954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 w="9363">
            <a:solidFill>
              <a:srgbClr val="D9D9D9"/>
            </a:solidFill>
          </a:ln>
        </c:spPr>
        <c:txPr>
          <a:bodyPr/>
          <a:lstStyle/>
          <a:p>
            <a:pPr>
              <a:defRPr sz="900" u="none">
                <a:solidFill>
                  <a:srgbClr val="595959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46"/>
        <c:crosses val="autoZero"/>
        <c:auto val="1"/>
        <c:lblOffset val="100"/>
        <c:tickMarkSkip val="1"/>
        <c:noMultiLvlLbl val="0"/>
      </c:catAx>
      <c:valAx>
        <c:axId val="1866169546"/>
        <c:scaling>
          <c:orientation val="minMax"/>
          <c:min val="60.000000"/>
        </c:scaling>
        <c:delete val="0"/>
        <c:axPos val="l"/>
        <c:majorGridlines>
          <c:spPr bwMode="auto">
            <a:prstGeom prst="rect">
              <a:avLst/>
            </a:prstGeom>
            <a:ln w="9363">
              <a:solidFill>
                <a:srgbClr val="D9D9D9"/>
              </a:solidFill>
            </a:ln>
          </c:spPr>
        </c:majorGridlines>
        <c:numFmt formatCode="0.0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>
            <a:noFill/>
          </a:ln>
        </c:spPr>
        <c:txPr>
          <a:bodyPr/>
          <a:lstStyle/>
          <a:p>
            <a:pPr>
              <a:defRPr sz="900" u="none">
                <a:solidFill>
                  <a:srgbClr val="595959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45"/>
        <c:crosses val="autoZero"/>
        <c:crossBetween val="between"/>
      </c:valAx>
      <c:spPr bwMode="auto">
        <a:prstGeom prst="rect">
          <a:avLst/>
        </a:prstGeom>
        <a:noFill/>
      </c:spPr>
    </c:plotArea>
    <c:plotVisOnly val="1"/>
    <c:dispBlanksAs val="zero"/>
    <c:showDLblsOverMax val="1"/>
  </c:chart>
  <c:spPr bwMode="auto">
    <a:xfrm>
      <a:off x="0" y="0"/>
      <a:ext cx="5842855" cy="2628913"/>
    </a:xfrm>
    <a:prstGeom prst="rect">
      <a:avLst/>
    </a:prstGeom>
    <a:solidFill>
      <a:srgbClr val="FFFFFF"/>
    </a:solidFill>
    <a:ln w="9363">
      <a:solidFill>
        <a:srgbClr val="D9D9D9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plotArea>
      <c:layout/>
      <c:lineChart>
        <c:grouping val="standard"/>
        <c:varyColors val="0"/>
        <c:ser>
          <c:idx val="0"/>
          <c:order val="0"/>
          <c:spPr bwMode="auto">
            <a:prstGeom prst="rect">
              <a:avLst/>
            </a:prstGeom>
            <a:noFill/>
            <a:ln w="28801">
              <a:solidFill>
                <a:srgbClr val="004586"/>
              </a:solidFill>
            </a:ln>
          </c:spPr>
          <c:marker>
            <c:symbol val="square"/>
            <c:spPr bwMode="auto">
              <a:prstGeom prst="rect">
                <a:avLst/>
              </a:prstGeom>
              <a:noFill/>
              <a:ln/>
            </c:spPr>
          </c:marker>
          <c:dPt>
            <c:idx val="0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1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2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3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4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5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6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7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8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9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10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11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12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Pt>
            <c:idx val="13"/>
            <c:marker>
              <c:symbol val="square"/>
              <c:spPr bwMode="auto">
                <a:prstGeom prst="rect">
                  <a:avLst/>
                </a:prstGeom>
                <a:noFill/>
              </c:spPr>
            </c:marker>
            <c:spPr bwMode="auto">
              <a:prstGeom prst="rect">
                <a:avLst/>
              </a:prstGeom>
              <a:noFill/>
            </c:spPr>
          </c:dPt>
          <c:dLbls>
            <c:dLbl>
              <c:idx val="4"/>
              <c:dLblPos val="t"/>
              <c:layout>
                <c:manualLayout>
                  <c:x val="0.006150"/>
                  <c:y val="0.09408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"/>
              <c:dLblPos val="t"/>
              <c:layout>
                <c:manualLayout>
                  <c:x val="0.015380"/>
                  <c:y val="0.08820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7"/>
              <c:dLblPos val="t"/>
              <c:layout>
                <c:manualLayout>
                  <c:x val="0.003070"/>
                  <c:y val="0.08526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0"/>
              <c:dLblPos val="t"/>
              <c:layout>
                <c:manualLayout>
                  <c:x val="0.015380"/>
                  <c:y val="0.08820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9"/>
              <c:dLblPos val="t"/>
              <c:layout>
                <c:manualLayout>
                  <c:x val="0.016920"/>
                  <c:y val="0.00000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1"/>
              <c:dLblPos val="t"/>
              <c:layout>
                <c:manualLayout>
                  <c:x val="-0.018460"/>
                  <c:y val="0.00294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13"/>
              <c:dLblPos val="t"/>
              <c:layout>
                <c:manualLayout>
                  <c:x val="0.006150"/>
                  <c:y val="0.00000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t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Июнь_26!$A$104:$A$117</c:f>
              <c:strCache>
                <c:ptCount val="14"/>
                <c:pt idx="0">
                  <c:v xml:space="preserve">Республика Мордовия</c:v>
                </c:pt>
                <c:pt idx="1">
                  <c:v xml:space="preserve">Республика Башкортостан</c:v>
                </c:pt>
                <c:pt idx="2">
                  <c:v xml:space="preserve">Республика Марий Эл</c:v>
                </c:pt>
                <c:pt idx="3">
                  <c:v xml:space="preserve">Республика Татарстан</c:v>
                </c:pt>
                <c:pt idx="4">
                  <c:v xml:space="preserve">Удмуртская Республика</c:v>
                </c:pt>
                <c:pt idx="5">
                  <c:v xml:space="preserve">Чувашская Республика</c:v>
                </c:pt>
                <c:pt idx="6">
                  <c:v xml:space="preserve">Кировская область</c:v>
                </c:pt>
                <c:pt idx="7">
                  <c:v xml:space="preserve">Нижегородская область</c:v>
                </c:pt>
                <c:pt idx="8">
                  <c:v xml:space="preserve">Оренбургская область</c:v>
                </c:pt>
                <c:pt idx="9">
                  <c:v xml:space="preserve">Пензенская область</c:v>
                </c:pt>
                <c:pt idx="10">
                  <c:v xml:space="preserve">Пермский край</c:v>
                </c:pt>
                <c:pt idx="11">
                  <c:v xml:space="preserve">Самарская область</c:v>
                </c:pt>
                <c:pt idx="12">
                  <c:v xml:space="preserve">Саратовская область</c:v>
                </c:pt>
                <c:pt idx="13">
                  <c:v xml:space="preserve">Ульяновская область</c:v>
                </c:pt>
              </c:strCache>
            </c:strRef>
          </c:cat>
          <c:val>
            <c:numRef>
              <c:f>Июнь_26!$B$104:$B$117</c:f>
              <c:numCache>
                <c:formatCode>General</c:formatCode>
                <c:ptCount val="14"/>
                <c:pt idx="0" formatCode="0.0">
                  <c:v>96.7</c:v>
                </c:pt>
                <c:pt idx="1" formatCode="General">
                  <c:v>102.3</c:v>
                </c:pt>
                <c:pt idx="2" formatCode="General">
                  <c:v>113.6</c:v>
                </c:pt>
                <c:pt idx="3" formatCode="0.0">
                  <c:v>108.1</c:v>
                </c:pt>
                <c:pt idx="4" formatCode="0.0">
                  <c:v>100.6</c:v>
                </c:pt>
                <c:pt idx="5" formatCode="0.0">
                  <c:v>106.1</c:v>
                </c:pt>
                <c:pt idx="6" formatCode="0.0">
                  <c:v>102</c:v>
                </c:pt>
                <c:pt idx="7" formatCode="General">
                  <c:v>103.2</c:v>
                </c:pt>
                <c:pt idx="8" formatCode="0.0">
                  <c:v>109.6</c:v>
                </c:pt>
                <c:pt idx="9" formatCode="General">
                  <c:v>99.2</c:v>
                </c:pt>
                <c:pt idx="10" formatCode="0.0">
                  <c:v>96.2</c:v>
                </c:pt>
                <c:pt idx="11" formatCode="0.0">
                  <c:v>103.6</c:v>
                </c:pt>
                <c:pt idx="12" formatCode="0.0">
                  <c:v>112.6</c:v>
                </c:pt>
                <c:pt idx="13" formatCode="0.0">
                  <c:v>107</c:v>
                </c:pt>
              </c:numCache>
            </c:numRef>
          </c:val>
          <c:smooth val="0"/>
        </c:ser>
        <c:dLbls>
          <c:dLblPos val="t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  <c:smooth val="0"/>
        <c:axId val="1866169547"/>
        <c:axId val="1866169548"/>
      </c:lineChart>
      <c:catAx>
        <c:axId val="186616954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 w="6483">
            <a:solidFill>
              <a:srgbClr val="B3B3B3"/>
            </a:solidFill>
          </a:ln>
        </c:spPr>
        <c:txPr>
          <a:bodyPr/>
          <a:lstStyle/>
          <a:p>
            <a:pPr>
              <a:defRPr sz="1000" u="none">
                <a:solidFill>
                  <a:srgbClr val="000000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48"/>
        <c:crosses val="autoZero"/>
        <c:auto val="1"/>
        <c:lblOffset val="100"/>
        <c:tickMarkSkip val="1"/>
        <c:noMultiLvlLbl val="0"/>
      </c:catAx>
      <c:valAx>
        <c:axId val="1866169548"/>
        <c:scaling>
          <c:orientation val="minMax"/>
        </c:scaling>
        <c:delete val="0"/>
        <c:axPos val="l"/>
        <c:majorGridlines>
          <c:spPr bwMode="auto">
            <a:prstGeom prst="rect">
              <a:avLst/>
            </a:prstGeom>
            <a:ln w="6483">
              <a:solidFill>
                <a:srgbClr val="B3B3B3"/>
              </a:solidFill>
            </a:ln>
          </c:spPr>
        </c:majorGridlines>
        <c:numFmt formatCode="0.0" sourceLinked="1"/>
        <c:majorTickMark val="out"/>
        <c:minorTickMark val="none"/>
        <c:tickLblPos val="nextTo"/>
        <c:spPr bwMode="auto">
          <a:prstGeom prst="rect">
            <a:avLst/>
          </a:prstGeom>
          <a:noFill/>
          <a:ln w="6483">
            <a:solidFill>
              <a:srgbClr val="B3B3B3"/>
            </a:solidFill>
          </a:ln>
        </c:spPr>
        <c:txPr>
          <a:bodyPr/>
          <a:lstStyle/>
          <a:p>
            <a:pPr>
              <a:defRPr sz="1000" u="none">
                <a:solidFill>
                  <a:srgbClr val="000000"/>
                </a:solidFill>
                <a:latin typeface="Times New Roman"/>
                <a:cs typeface="Times New Roman"/>
              </a:defRPr>
            </a:pPr>
            <a:endParaRPr/>
          </a:p>
        </c:txPr>
        <c:crossAx val="1866169547"/>
        <c:crosses val="autoZero"/>
        <c:crossBetween val="between"/>
      </c:valAx>
      <c:spPr bwMode="auto">
        <a:prstGeom prst="rect">
          <a:avLst/>
        </a:prstGeom>
        <a:noFill/>
      </c:spPr>
    </c:plotArea>
    <c:plotVisOnly val="1"/>
    <c:dispBlanksAs val="zero"/>
    <c:showDLblsOverMax val="1"/>
  </c:chart>
  <c:spPr bwMode="auto">
    <a:xfrm>
      <a:off x="0" y="0"/>
      <a:ext cx="5939789" cy="2983024"/>
    </a:xfrm>
    <a:prstGeom prst="rect">
      <a:avLst/>
    </a:prstGeom>
    <a:solidFill>
      <a:srgbClr val="FFFFFF"/>
    </a:solidFill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mc="http://schemas.openxmlformats.org/markup-compatibility/2006" xmlns:c15="http://schemas.microsoft.com/office/drawing/2012/chart" xmlns:c14="http://schemas.microsoft.com/office/drawing/2007/8/2/chart" xmlns:c16r2="http://schemas.microsoft.com/office/drawing/2015/06/chart">
  <c:date1904 val="0"/>
  <c:lang val="en-US"/>
  <c:roundedCorners val="0"/>
  <mc:AlternateContent>
    <mc:Choice Requires="c14">
      <c14:style val="102"/>
    </mc:Choice>
    <mc:Fallback>
      <c:style val="2"/>
    </mc:Fallback>
  </mc:AlternateContent>
  <c:chart>
    <c:floor/>
    <c:backWall/>
    <c:plotArea>
      <c:layout>
        <c:manualLayout>
          <c:layoutTarget val="inner"/>
          <c:xMode val="edge"/>
          <c:yMode val="edge"/>
          <c:x val="0.024700"/>
          <c:y val="0.048980"/>
          <c:w val="0.950590"/>
          <c:h val="0.488730"/>
        </c:manualLayout>
      </c:layout>
      <c:pie3DChart>
        <c:varyColors val="0"/>
        <c:ser>
          <c:idx val="0"/>
          <c:order val="0"/>
          <c:spPr bwMode="auto">
            <a:prstGeom prst="rect">
              <a:avLst/>
            </a:prstGeom>
            <a:ln>
              <a:noFill/>
            </a:ln>
          </c:spPr>
          <c:explosion val="55"/>
          <c:dPt>
            <c:idx val="0"/>
            <c:spPr bwMode="auto">
              <a:prstGeom prst="rect">
                <a:avLst/>
              </a:prstGeom>
              <a:solidFill>
                <a:srgbClr val="4472C4"/>
              </a:solidFill>
            </c:spPr>
          </c:dPt>
          <c:dPt>
            <c:idx val="1"/>
            <c:spPr bwMode="auto">
              <a:prstGeom prst="rect">
                <a:avLst/>
              </a:prstGeom>
              <a:solidFill>
                <a:srgbClr val="ED7D31"/>
              </a:solidFill>
            </c:spPr>
          </c:dPt>
          <c:dPt>
            <c:idx val="2"/>
            <c:spPr bwMode="auto">
              <a:prstGeom prst="rect">
                <a:avLst/>
              </a:prstGeom>
              <a:solidFill>
                <a:srgbClr val="A5A5A5"/>
              </a:solidFill>
            </c:spPr>
          </c:dPt>
          <c:dPt>
            <c:idx val="3"/>
            <c:spPr bwMode="auto">
              <a:prstGeom prst="rect">
                <a:avLst/>
              </a:prstGeom>
              <a:solidFill>
                <a:srgbClr val="FFC000"/>
              </a:solidFill>
            </c:spPr>
          </c:dPt>
          <c:dLbls>
            <c:dLbl>
              <c:idx val="2"/>
              <c:dLblPos val="outEnd"/>
              <c:layout>
                <c:manualLayout>
                  <c:x val="-0.112710"/>
                  <c:y val="0.06122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>
              <c:idx val="4"/>
              <c:dLblPos val="outEnd"/>
              <c:layout>
                <c:manualLayout>
                  <c:x val="0.010800"/>
                  <c:y val="0.000000"/>
                </c:manualLayout>
              </c:layout>
              <c:separator xml:space="preserve"> </c:separator>
              <c:showBubbleSize val="0"/>
              <c:showCatName val="0"/>
              <c:showLegendKey val="0"/>
              <c:showPercent val="0"/>
              <c:showSerName val="0"/>
              <c:showVal val="1"/>
            </c:dLbl>
            <c:dLblPos val="outEnd"/>
            <c:separator xml:space="preserve"> </c:separator>
            <c:showBubbleSize val="0"/>
            <c:showCatName val="0"/>
            <c:showLeaderLines val="0"/>
            <c:showLegendKey val="0"/>
            <c:showPercent val="0"/>
            <c:showSerName val="0"/>
            <c:showVal val="1"/>
          </c:dLbls>
          <c:cat>
            <c:strRef>
              <c:f>Июнь_26!$A$127:$A$131</c:f>
              <c:strCache>
                <c:ptCount val="5"/>
                <c:pt idx="0">
                  <c:v xml:space="preserve">малые предприятия (без микропредприятий)</c:v>
                </c:pt>
                <c:pt idx="1">
                  <c:v xml:space="preserve">организации, не относящиеся к субъектам малого предпринимательства</c:v>
                </c:pt>
                <c:pt idx="2">
                  <c:v xml:space="preserve">индивидуальные предприниматели, осуществляющие свою деятельность в общественном питании</c:v>
                </c:pt>
                <c:pt idx="3">
                  <c:v>микропредприятия</c:v>
                </c:pt>
                <c:pt idx="4">
                  <c:v>самозанятые</c:v>
                </c:pt>
              </c:strCache>
            </c:strRef>
          </c:cat>
          <c:val>
            <c:numRef>
              <c:f>Июнь_26!$B$127:$B$131</c:f>
              <c:numCache>
                <c:formatCode>General</c:formatCode>
                <c:ptCount val="5"/>
                <c:pt idx="0" formatCode="0.0">
                  <c:v>14.3</c:v>
                </c:pt>
                <c:pt idx="1" formatCode="0.0">
                  <c:v>14.5</c:v>
                </c:pt>
                <c:pt idx="2" formatCode="0.0">
                  <c:v>56.1</c:v>
                </c:pt>
                <c:pt idx="3" formatCode="0.0">
                  <c:v>12.3</c:v>
                </c:pt>
                <c:pt idx="4" formatCode="General">
                  <c:v>2.8</c:v>
                </c:pt>
              </c:numCache>
            </c:numRef>
          </c:val>
        </c:ser>
        <c:dLbls>
          <c:dLblPos val="outEnd"/>
          <c:separator xml:space="preserve"> </c:separator>
          <c:showBubbleSize val="0"/>
          <c:showCatName val="0"/>
          <c:showLeaderLines val="0"/>
          <c:showLegendKey val="0"/>
          <c:showPercent val="0"/>
          <c:showSerName val="0"/>
          <c:showVal val="1"/>
        </c:dLbls>
      </c:pie3DChart>
      <c:spPr bwMode="auto">
        <a:prstGeom prst="rect">
          <a:avLst/>
        </a:prstGeom>
        <a:noFill/>
        <a:ln>
          <a:noFill/>
        </a:ln>
      </c:spPr>
    </c:plotArea>
    <c:legend>
      <c:legendPos val="b"/>
      <c:layout>
        <c:manualLayout>
          <c:xMode val="edge"/>
          <c:yMode val="edge"/>
          <c:x val="0.013160"/>
          <c:y val="0.562200"/>
          <c:w val="0.947720"/>
          <c:h val="0.411760"/>
        </c:manualLayout>
      </c:layout>
      <c:overlay val="0"/>
    </c:legend>
    <c:plotVisOnly val="1"/>
    <c:dispBlanksAs val="zero"/>
    <c:showDLblsOverMax val="1"/>
  </c:chart>
  <c:spPr bwMode="auto">
    <a:xfrm>
      <a:off x="0" y="0"/>
      <a:ext cx="5939789" cy="2781517"/>
    </a:xfrm>
    <a:prstGeom prst="rect">
      <a:avLst/>
    </a:prstGeom>
    <a:solidFill>
      <a:srgbClr val="FFFFFF"/>
    </a:solidFill>
    <a:ln w="9363">
      <a:solidFill>
        <a:srgbClr val="D9D9D9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Е. Мироненко</dc:creator>
  <dc:language>ru-RU</dc:language>
  <cp:lastModifiedBy>ganina-va</cp:lastModifiedBy>
  <cp:revision>8</cp:revision>
  <dcterms:created xsi:type="dcterms:W3CDTF">2026-03-13T08:18:00Z</dcterms:created>
  <dcterms:modified xsi:type="dcterms:W3CDTF">2026-08-17T08:31:48Z</dcterms:modified>
</cp:coreProperties>
</file>