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Порядок досудебного обжалования решений контрольного (надзорного) органа, действий (бездействия) его должностных лиц.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ind w:left="0" w:right="0" w:firstLine="709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Действия (бездействие) должностных лиц контрольного (надзорного) органа, решения, принятые контрольным (надзорным) органом в ходе осуществления регионального государственного контроля (надзора), могут быть обжалованы контролируемым лицом в досудебном поряд</w:t>
      </w:r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ке в соответствии с положениями </w:t>
      </w:r>
      <w:hyperlink r:id="rId8" w:tooltip="https://internet.garant.ru/#/document/74449814/entry/900" w:history="1">
        <w:r>
          <w:rPr>
            <w:rStyle w:val="812"/>
            <w:rFonts w:ascii="Times New Roman" w:hAnsi="Times New Roman" w:eastAsia="Times New Roman" w:cs="Times New Roman"/>
            <w:color w:val="3272c0"/>
            <w:sz w:val="24"/>
            <w:szCs w:val="24"/>
            <w:u w:val="none"/>
          </w:rPr>
          <w:t xml:space="preserve">главы 9</w:t>
        </w:r>
      </w:hyperlink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 Федерального закона от 31 июля 2020 г. № 248-ФЗ «О государственном контроле (надзоре) и муниципальном контроле в Российской Федерации».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709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Жалоба на решения контрольного (надзорного) органа, действия (бездействие) должностных лиц контрольного (надзорного) органа рассматривается руководителем контрольного (надзорного) органа.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709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Жалоба на решения, действия (бездействие) руководителя контрольного (надзорного) органа рассматривается руководителем контрольного (надзорного) органа.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709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Жалоба подлежит рассмотрению уполномоченным на рассмотрение жалобы органом в течение 15 рабочих дней со дня ее регистрации в подсистеме досудебного обжалования.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709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Решение контрольного (надзорного) органа по итогам рассмотрения жалобы размещается в личном кабинете контролируемого лица на </w:t>
      </w:r>
      <w:hyperlink r:id="rId9" w:tooltip="http://www.gosuslugi.ru/" w:history="1">
        <w:r>
          <w:rPr>
            <w:rStyle w:val="812"/>
            <w:rFonts w:ascii="Times New Roman" w:hAnsi="Times New Roman" w:eastAsia="Times New Roman" w:cs="Times New Roman"/>
            <w:color w:val="3272c0"/>
            <w:sz w:val="24"/>
            <w:szCs w:val="24"/>
            <w:u w:val="none"/>
          </w:rPr>
          <w:t xml:space="preserve">едином портале</w:t>
        </w:r>
      </w:hyperlink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 государственных и муниципальных услуг (функций) и (или) </w:t>
      </w:r>
      <w:hyperlink r:id="rId10" w:tooltip="https://gosuslugi.e-mordovia.ru/" w:history="1">
        <w:r>
          <w:rPr>
            <w:rStyle w:val="812"/>
            <w:rFonts w:ascii="Times New Roman" w:hAnsi="Times New Roman" w:eastAsia="Times New Roman" w:cs="Times New Roman"/>
            <w:color w:val="3272c0"/>
            <w:sz w:val="24"/>
            <w:szCs w:val="24"/>
            <w:u w:val="none"/>
          </w:rPr>
          <w:t xml:space="preserve">региональном портале</w:t>
        </w:r>
      </w:hyperlink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 государственных и муниципальных услуг не позднее одного рабочего дня со дня его принятия.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709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Рассмотрение жалобы, связанной со сведениями и документами, составляющими государственную или иную охраняемую законом тайну, осуществляется с соблюдением положений нормативных правовых актов, регулирующих отношения, связанные с защитой государственной </w:t>
      </w:r>
      <w:r>
        <w:rPr>
          <w:rFonts w:ascii="Times New Roman" w:hAnsi="Times New Roman" w:eastAsia="Times New Roman" w:cs="Times New Roman"/>
          <w:color w:val="22272f"/>
          <w:sz w:val="24"/>
          <w:szCs w:val="24"/>
        </w:rPr>
        <w:t xml:space="preserve">или иной охраняемой законом тайны, на бумажном носителе.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5">
    <w:name w:val="Heading 1 Char"/>
    <w:link w:val="65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7">
    <w:name w:val="Heading 2 Char"/>
    <w:link w:val="656"/>
    <w:uiPriority w:val="9"/>
    <w:rPr>
      <w:rFonts w:ascii="Liberation Sans" w:hAnsi="Liberation Sans" w:eastAsia="Liberation Sans" w:cs="Liberation Sans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59">
    <w:name w:val="Heading 3 Char"/>
    <w:link w:val="65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link w:val="6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link w:val="684"/>
    <w:uiPriority w:val="35"/>
    <w:rPr>
      <w:b/>
      <w:bCs/>
      <w:color w:val="4f81bd" w:themeColor="accent1"/>
      <w:sz w:val="18"/>
      <w:szCs w:val="18"/>
    </w:rPr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internet.garant.ru/#/document/74449814/entry/900" TargetMode="External"/><Relationship Id="rId9" Type="http://schemas.openxmlformats.org/officeDocument/2006/relationships/hyperlink" Target="http://www.gosuslugi.ru/" TargetMode="External"/><Relationship Id="rId10" Type="http://schemas.openxmlformats.org/officeDocument/2006/relationships/hyperlink" Target="https://gosuslugi.e-mordovia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danilova_aa</cp:lastModifiedBy>
  <cp:revision>5</cp:revision>
  <dcterms:modified xsi:type="dcterms:W3CDTF">2026-09-25T06:25:21Z</dcterms:modified>
</cp:coreProperties>
</file>