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108" w:after="108"/>
        <w:rPr>
          <w:rFonts w:ascii="Arial" w:hAnsi="Arial"/>
          <w:color w:val="000000"/>
        </w:rPr>
      </w:pPr>
      <w:r>
        <w:rPr>
          <w:rStyle w:val="Style13"/>
          <w:color w:val="000000"/>
        </w:rPr>
        <w:t xml:space="preserve">Постановление Администрации городского округа Саранск </w:t>
      </w:r>
    </w:p>
    <w:p>
      <w:pPr>
        <w:pStyle w:val="Heading1"/>
        <w:bidi w:val="0"/>
        <w:spacing w:before="108" w:after="108"/>
        <w:rPr>
          <w:rFonts w:ascii="Arial" w:hAnsi="Arial"/>
          <w:color w:val="000000"/>
        </w:rPr>
      </w:pPr>
      <w:r>
        <w:rPr>
          <w:rStyle w:val="Style13"/>
          <w:color w:val="000000"/>
        </w:rPr>
        <w:t xml:space="preserve">от 27 декабря 2013 г. N 3578 </w:t>
      </w:r>
    </w:p>
    <w:p>
      <w:pPr>
        <w:pStyle w:val="Heading1"/>
        <w:bidi w:val="0"/>
        <w:spacing w:before="108" w:after="108"/>
        <w:rPr>
          <w:rFonts w:ascii="Arial" w:hAnsi="Arial"/>
          <w:color w:val="000000"/>
        </w:rPr>
      </w:pPr>
      <w:r>
        <w:rPr>
          <w:rStyle w:val="Style13"/>
          <w:color w:val="000000"/>
        </w:rPr>
        <w:t xml:space="preserve">"Об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Саранск" </w:t>
      </w:r>
    </w:p>
    <w:p>
      <w:pPr>
        <w:pStyle w:val="Heading1"/>
        <w:bidi w:val="0"/>
        <w:rPr>
          <w:rFonts w:ascii="Arial" w:hAnsi="Arial"/>
          <w:color w:val="000000"/>
        </w:rPr>
      </w:pPr>
      <w:r>
        <w:rPr>
          <w:rStyle w:val="Style13"/>
          <w:color w:val="000000"/>
        </w:rPr>
        <w:t>(в редакции Постановления Администрации городского округа Саранск от 28 сентября 2018 г. N 2228 )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/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 xml:space="preserve">В соответствии с </w:t>
      </w:r>
      <w:r>
        <w:rPr>
          <w:rStyle w:val="Style13"/>
          <w:color w:val="000000"/>
        </w:rPr>
        <w:t>постановлением</w:t>
      </w:r>
      <w:r>
        <w:rPr>
          <w:rStyle w:val="Style15"/>
        </w:rPr>
        <w:t xml:space="preserve"> Правительства Российской Федерации от 27.12.2012 N 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 Администрация городского округа Саранск постановляет: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bookmarkStart w:id="0" w:name="sub_1"/>
      <w:bookmarkEnd w:id="0"/>
      <w:r>
        <w:rPr>
          <w:rStyle w:val="Style15"/>
        </w:rPr>
        <w:t xml:space="preserve">1. Признать утратившим силу </w:t>
      </w:r>
      <w:hyperlink r:id="rId2">
        <w:r>
          <w:rPr>
            <w:rStyle w:val="Style13"/>
            <w:color w:val="000000"/>
          </w:rPr>
          <w:t>постановление</w:t>
        </w:r>
      </w:hyperlink>
      <w:r>
        <w:rPr>
          <w:rStyle w:val="Style15"/>
        </w:rPr>
        <w:t xml:space="preserve"> Администрации городского округа Саранск от 28.06.2013 N 1628 "Об определении минимального значения для расчета границ прилегающих территорий к детским, образовательным, медицинским организациям и объектам спорта, оптовым и розничным рынкам, вокзалам, аэропортам и иным местам массового скопления граждан и местам нахождения источников повышенной опасности, к объектам военного назначения, расположенным на территории г. о. Саранск, на которых не допускается розничная продажа алкогольной продукции".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bookmarkStart w:id="1" w:name="sub_2"/>
      <w:bookmarkStart w:id="2" w:name="sub_1_Копия_1"/>
      <w:bookmarkEnd w:id="1"/>
      <w:bookmarkEnd w:id="2"/>
      <w:r>
        <w:rPr>
          <w:rStyle w:val="Style15"/>
        </w:rPr>
        <w:t xml:space="preserve">2. Установить минимальное значение расстояний от организаций и (или) объектов, указанных в </w:t>
      </w:r>
      <w:hyperlink r:id="rId3">
        <w:r>
          <w:rPr>
            <w:rStyle w:val="Style13"/>
            <w:color w:val="000000"/>
          </w:rPr>
          <w:t>пункте 2</w:t>
        </w:r>
      </w:hyperlink>
      <w:r>
        <w:rPr>
          <w:rStyle w:val="Style15"/>
        </w:rPr>
        <w:t xml:space="preserve"> 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утвержденных </w:t>
      </w:r>
      <w:hyperlink r:id="rId4">
        <w:r>
          <w:rPr>
            <w:rStyle w:val="Style13"/>
            <w:color w:val="000000"/>
          </w:rPr>
          <w:t>постановлением</w:t>
        </w:r>
      </w:hyperlink>
      <w:r>
        <w:rPr>
          <w:rStyle w:val="Style15"/>
        </w:rPr>
        <w:t xml:space="preserve"> Правительства Российской Федерации от 27.12.2012 N 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 (далее - Правила), до границ прилегающих территорий: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bookmarkStart w:id="3" w:name="sub_2_Копия_1"/>
      <w:bookmarkEnd w:id="3"/>
      <w:r>
        <w:rPr>
          <w:rStyle w:val="Style15"/>
        </w:rPr>
        <w:t>а) от детских организаций, имеющих обособленную территорию, до границ прилегающих территорий - не менее 50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>от детских организаций, не имеющих обособленную территорию, до границ прилегающих территорий - не менее 70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>б) от образовательных организаций, имеющих обособленную территорию, до границ прилегающих территорий - не менее 50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>от образовательных организаций, не имеющих обособленную территорию, до границ прилегающих территорий - не менее 70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>в) от медицинских организаций, имеющих обособленную территорию, до границ прилегающих территорий - не менее 50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>от медицинских организаций, не имеющих обособленную территорию, до границ прилегающих территорий - не менее 70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>г) от объектов спорта, имеющих обособленную территорию, до границ прилегающих территорий - не менее 50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>от объектов спорта, не имеющих обособленную территорию, до границ прилегающих территорий - не менее 70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>б) от оптовых и розничных рынков, имеющих обособленную территорию, до границ прилегающих территорий - не менее 50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>от оптовых и розничных рынков, не имеющих обособленную территорию, до границ прилегающих территорий - не менее 70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>д) от вокзалов, аэропортов, имеющих обособленную территорию, до границ прилегающих территорий - не менее 50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>от вокзалов, аэропортов, не имеющих обособленную территорию, до границ прилегающих территорий - не менее 70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 xml:space="preserve">е) от границ земельных участков с массовым скоплением граждан, определенных для проведения публичных мероприятий, организуемых в соответствии с </w:t>
      </w:r>
      <w:hyperlink r:id="rId5">
        <w:r>
          <w:rPr>
            <w:rStyle w:val="Style13"/>
            <w:color w:val="000000"/>
          </w:rPr>
          <w:t>Федеральным законом</w:t>
        </w:r>
      </w:hyperlink>
      <w:r>
        <w:rPr>
          <w:rStyle w:val="Style15"/>
        </w:rPr>
        <w:t xml:space="preserve"> "О собраниях, митингах, демонстрациях, шествиях и пикетированиях", до границ прилегающих территорий - в радиусе не менее 300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>ж) от мест нахождения источников повышенной опасности, имеющих обособленную территорию, до границ прилегающих территорий - не менее 25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>от мест нахождения источников повышенной опасности, не имеющих обособленную территорию, до границ прилегающих территорий - не менее 50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>з) от объектов военного назначения, имеющих обособленную территорию, до границ прилегающих территорий - не менее 50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>от объектов военного назначения, не имеющих обособленную территорию, до границ прилегающих территорий - не менее 70 метров.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bookmarkStart w:id="4" w:name="sub_3"/>
      <w:bookmarkEnd w:id="4"/>
      <w:r>
        <w:rPr>
          <w:rStyle w:val="Style15"/>
        </w:rPr>
        <w:t xml:space="preserve">3. Установить следующий способ расчета расстояния от организаций и (или) объектов, указанных в </w:t>
      </w:r>
      <w:hyperlink w:anchor="sub_2">
        <w:r>
          <w:rPr>
            <w:rStyle w:val="Style13"/>
            <w:color w:val="000000"/>
          </w:rPr>
          <w:t>пункте 2</w:t>
        </w:r>
      </w:hyperlink>
      <w:r>
        <w:rPr>
          <w:rStyle w:val="Style15"/>
        </w:rPr>
        <w:t xml:space="preserve"> настоящего постановления, до границ прилегающих территорий: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bookmarkStart w:id="5" w:name="sub_3_Копия_1"/>
      <w:bookmarkEnd w:id="5"/>
      <w:r>
        <w:rPr>
          <w:rStyle w:val="Style15"/>
        </w:rPr>
        <w:t>а) при наличии обособленных территорий - от входа для посетителей на обособленную территорию до входа для посетителей в стационарный торговый объект;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 xml:space="preserve">б) при отсутствии обособленных территорий - от входа для посетителей в здание (строение, сооружение), в котором расположены организации и (или) объекты, перечисленные в </w:t>
      </w:r>
      <w:hyperlink w:anchor="sub_2">
        <w:r>
          <w:rPr>
            <w:rStyle w:val="Style13"/>
            <w:color w:val="000000"/>
          </w:rPr>
          <w:t>пункте 2</w:t>
        </w:r>
      </w:hyperlink>
      <w:r>
        <w:rPr>
          <w:rStyle w:val="Style15"/>
        </w:rPr>
        <w:t xml:space="preserve"> настоящего постановления, до входа для посетителей в стационарный торговый объект.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bookmarkStart w:id="6" w:name="sub_4"/>
      <w:bookmarkEnd w:id="6"/>
      <w:r>
        <w:rPr>
          <w:rStyle w:val="Style15"/>
        </w:rPr>
        <w:t xml:space="preserve">4. В соответствии с </w:t>
      </w:r>
      <w:hyperlink r:id="rId6">
        <w:r>
          <w:rPr>
            <w:rStyle w:val="Style13"/>
            <w:color w:val="000000"/>
          </w:rPr>
          <w:t>пунктом 5</w:t>
        </w:r>
      </w:hyperlink>
      <w:r>
        <w:rPr>
          <w:rStyle w:val="Style15"/>
        </w:rPr>
        <w:t xml:space="preserve"> Правил расчет расстояний от организаций и (или) объектов, указанных в </w:t>
      </w:r>
      <w:hyperlink w:anchor="sub_2">
        <w:r>
          <w:rPr>
            <w:rStyle w:val="Style13"/>
            <w:color w:val="000000"/>
          </w:rPr>
          <w:t>пункте 2</w:t>
        </w:r>
      </w:hyperlink>
      <w:r>
        <w:rPr>
          <w:rStyle w:val="Style15"/>
        </w:rPr>
        <w:t xml:space="preserve"> настоящего постановления, до границ прилегающих территорий определяются путем замера кратчайшего расстояния по пешеходной зоне - тротуарам или пешеходным дорожкам (при их отсутствии - по обочинам, велосипедным дорожкам, краям проезжих частей), пешеходным переходам (подземным и надземным). При пересечении пешеходной зоны с проезжей частью расстояние измеряется по ближайшему пешеходному переходу.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bookmarkStart w:id="7" w:name="sub_42"/>
      <w:bookmarkStart w:id="8" w:name="sub_4_Копия_1"/>
      <w:bookmarkEnd w:id="7"/>
      <w:bookmarkEnd w:id="8"/>
      <w:r>
        <w:rPr>
          <w:rStyle w:val="Style15"/>
        </w:rPr>
        <w:t xml:space="preserve">Установленное минимальное значение расстояний от организаций и (или) объектов, указанных в </w:t>
      </w:r>
      <w:hyperlink r:id="rId7">
        <w:r>
          <w:rPr>
            <w:rStyle w:val="Style13"/>
            <w:color w:val="000000"/>
          </w:rPr>
          <w:t>пункте 2</w:t>
        </w:r>
      </w:hyperlink>
      <w:r>
        <w:rPr>
          <w:rStyle w:val="Style15"/>
        </w:rPr>
        <w:t xml:space="preserve"> Правил, не распространяет свое действие на объекты и (или) организации торговли в изолированных помещениях в одном здании, строении, сооружении.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bookmarkStart w:id="9" w:name="sub_5"/>
      <w:bookmarkStart w:id="10" w:name="sub_42_Копия_1"/>
      <w:bookmarkEnd w:id="9"/>
      <w:bookmarkEnd w:id="10"/>
      <w:r>
        <w:rPr>
          <w:rStyle w:val="Style15"/>
        </w:rPr>
        <w:t xml:space="preserve">5. Установить, что границы прилегающих территорий к организациям и (или) объектам, указанным в </w:t>
      </w:r>
      <w:hyperlink w:anchor="sub_2">
        <w:r>
          <w:rPr>
            <w:rStyle w:val="Style13"/>
            <w:color w:val="000000"/>
          </w:rPr>
          <w:t>пункте 2</w:t>
        </w:r>
      </w:hyperlink>
      <w:r>
        <w:rPr>
          <w:rStyle w:val="Style15"/>
        </w:rPr>
        <w:t xml:space="preserve"> настоящего постановления, определяются с учетом всех входов для посетителей на обособленную территорию, а при отсутствии обособленной территории - с учетом всех входов для посетителей в здание (строение, сооружение), в котором расположены организации и (или) объекты, указанные в пункте 2 настоящего постановления, за исключением входов, которые не используются для входа, а являются как запасный выход для эвакуации людей в чрезвычайной ситуации.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bookmarkStart w:id="11" w:name="sub_6"/>
      <w:bookmarkStart w:id="12" w:name="sub_5_Копия_1"/>
      <w:bookmarkEnd w:id="11"/>
      <w:bookmarkEnd w:id="12"/>
      <w:r>
        <w:rPr>
          <w:rStyle w:val="Style15"/>
        </w:rPr>
        <w:t xml:space="preserve">6. В соответствии с </w:t>
      </w:r>
      <w:hyperlink r:id="rId8">
        <w:r>
          <w:rPr>
            <w:rStyle w:val="Style13"/>
            <w:color w:val="000000"/>
          </w:rPr>
          <w:t>пунктом 8</w:t>
        </w:r>
      </w:hyperlink>
      <w:r>
        <w:rPr>
          <w:rStyle w:val="Style15"/>
        </w:rPr>
        <w:t xml:space="preserve"> Правил, оформление схем границ прилегающих территорий для каждой организации и (или) объекта, указанных в </w:t>
      </w:r>
      <w:hyperlink w:anchor="sub_2">
        <w:r>
          <w:rPr>
            <w:rStyle w:val="Style13"/>
            <w:color w:val="000000"/>
          </w:rPr>
          <w:t>пункте 2</w:t>
        </w:r>
      </w:hyperlink>
      <w:r>
        <w:rPr>
          <w:rStyle w:val="Style15"/>
        </w:rPr>
        <w:t xml:space="preserve"> настоящего постановления, возложить на Департамент перспективного развития Администрации городского округа Саранск.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bookmarkStart w:id="13" w:name="sub_7"/>
      <w:bookmarkStart w:id="14" w:name="sub_6_Копия_1"/>
      <w:bookmarkEnd w:id="13"/>
      <w:bookmarkEnd w:id="14"/>
      <w:r>
        <w:rPr>
          <w:rStyle w:val="Style15"/>
        </w:rPr>
        <w:t>7. Контроль за исполнением настоящего постановления возложить на Первого заместителя Директора Департамента по экономической политике и взаимодействию с административными органами - Начальника Управления экономики, развития предпринимательства, муниципального заказа, цен и тарифов Администрации городского округа Саранск.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bookmarkStart w:id="15" w:name="sub_8"/>
      <w:bookmarkStart w:id="16" w:name="sub_7_Копия_1"/>
      <w:bookmarkEnd w:id="15"/>
      <w:bookmarkEnd w:id="16"/>
      <w:r>
        <w:rPr>
          <w:rStyle w:val="Style15"/>
        </w:rPr>
        <w:t xml:space="preserve">8. Настоящее постановление вступает в силу со дня его </w:t>
      </w:r>
      <w:hyperlink r:id="rId9">
        <w:r>
          <w:rPr>
            <w:rStyle w:val="Style13"/>
            <w:color w:val="000000"/>
          </w:rPr>
          <w:t>официального опубликования</w:t>
        </w:r>
      </w:hyperlink>
      <w:r>
        <w:rPr>
          <w:rStyle w:val="Style15"/>
        </w:rPr>
        <w:t>.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/>
      </w:r>
      <w:bookmarkStart w:id="17" w:name="sub_8_Копия_1"/>
      <w:bookmarkStart w:id="18" w:name="sub_8_Копия_1"/>
      <w:bookmarkEnd w:id="18"/>
    </w:p>
    <w:tbl>
      <w:tblPr>
        <w:tblW w:w="10301" w:type="dxa"/>
        <w:jc w:val="start"/>
        <w:tblInd w:w="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867"/>
        <w:gridCol w:w="3433"/>
      </w:tblGrid>
      <w:tr>
        <w:trPr/>
        <w:tc>
          <w:tcPr>
            <w:tcW w:w="6867" w:type="dxa"/>
            <w:tcBorders/>
          </w:tcPr>
          <w:p>
            <w:pPr>
              <w:pStyle w:val="Style18"/>
              <w:tabs>
                <w:tab w:val="clear" w:pos="720"/>
              </w:tabs>
              <w:bidi w:val="0"/>
              <w:ind w:hanging="0"/>
              <w:jc w:val="start"/>
              <w:rPr/>
            </w:pPr>
            <w:r>
              <w:rPr/>
              <w:t>Глава Администрации городского округа Саранск</w:t>
            </w:r>
          </w:p>
        </w:tc>
        <w:tc>
          <w:tcPr>
            <w:tcW w:w="3433" w:type="dxa"/>
            <w:tcBorders/>
          </w:tcPr>
          <w:p>
            <w:pPr>
              <w:pStyle w:val="Style19"/>
              <w:tabs>
                <w:tab w:val="clear" w:pos="720"/>
              </w:tabs>
              <w:bidi w:val="0"/>
              <w:ind w:hanging="0"/>
              <w:jc w:val="end"/>
              <w:rPr/>
            </w:pPr>
            <w:r>
              <w:rPr/>
              <w:t>П.Н. Тултаев</w:t>
            </w:r>
          </w:p>
        </w:tc>
      </w:tr>
    </w:tbl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/>
      </w:r>
    </w:p>
    <w:sectPr>
      <w:footerReference w:type="default" r:id="rId10"/>
      <w:type w:val="nextPage"/>
      <w:pgSz w:w="11906" w:h="16800"/>
      <w:pgMar w:left="800" w:right="800" w:gutter="0" w:header="0" w:top="720" w:footer="72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99" w:type="dxa"/>
      <w:jc w:val="start"/>
      <w:tblInd w:w="0" w:type="dxa"/>
      <w:tblLayout w:type="fixed"/>
      <w:tblCellMar>
        <w:top w:w="0" w:type="dxa"/>
        <w:start w:w="0" w:type="dxa"/>
        <w:bottom w:w="0" w:type="dxa"/>
        <w:end w:w="0" w:type="dxa"/>
      </w:tblCellMar>
    </w:tblPr>
    <w:tblGrid>
      <w:gridCol w:w="3433"/>
      <w:gridCol w:w="3433"/>
      <w:gridCol w:w="3433"/>
    </w:tblGrid>
    <w:tr>
      <w:trPr/>
      <w:tc>
        <w:tcPr>
          <w:tcW w:w="3433" w:type="dxa"/>
          <w:tcBorders/>
        </w:tcPr>
        <w:p>
          <w:pPr>
            <w:pStyle w:val="Footer"/>
            <w:tabs>
              <w:tab w:val="clear" w:pos="720"/>
            </w:tabs>
            <w:bidi w:val="0"/>
            <w:spacing w:before="0" w:after="0"/>
            <w:ind w:hanging="0" w:start="0"/>
            <w:jc w:val="start"/>
            <w:rPr/>
          </w:pPr>
          <w:r>
            <w:rPr/>
          </w:r>
        </w:p>
      </w:tc>
      <w:tc>
        <w:tcPr>
          <w:tcW w:w="3433" w:type="dxa"/>
          <w:tcBorders/>
        </w:tcPr>
        <w:p>
          <w:pPr>
            <w:pStyle w:val="Footer"/>
            <w:tabs>
              <w:tab w:val="clear" w:pos="720"/>
            </w:tabs>
            <w:bidi w:val="0"/>
            <w:ind w:hanging="0" w:start="0"/>
            <w:jc w:val="center"/>
            <w:rPr/>
          </w:pPr>
          <w:r>
            <w:rPr/>
            <w:t>Система ГАРАНТ</w:t>
          </w:r>
        </w:p>
      </w:tc>
      <w:tc>
        <w:tcPr>
          <w:tcW w:w="3433" w:type="dxa"/>
          <w:tcBorders/>
        </w:tcPr>
        <w:p>
          <w:pPr>
            <w:pStyle w:val="Footer"/>
            <w:tabs>
              <w:tab w:val="clear" w:pos="720"/>
            </w:tabs>
            <w:bidi w:val="0"/>
            <w:spacing w:before="0" w:after="0"/>
            <w:ind w:hanging="0" w:start="0"/>
            <w:jc w:val="end"/>
            <w:rPr/>
          </w:pP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3</w:t>
          </w:r>
          <w:r>
            <w:rPr/>
            <w:fldChar w:fldCharType="end"/>
          </w:r>
          <w:r>
            <w:rPr/>
            <w:t>/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3</w:t>
          </w:r>
          <w:r>
            <w:rPr/>
            <w:fldChar w:fldCharType="end"/>
          </w:r>
        </w:p>
      </w:tc>
    </w:tr>
  </w:tbl>
  <w:p>
    <w:pPr>
      <w:pStyle w:val="Normal"/>
      <w:bidi w:val="0"/>
      <w:spacing w:before="0" w:after="0"/>
      <w:ind w:hanging="0"/>
      <w:rPr>
        <w:rFonts w:ascii="Arial" w:hAnsi="Arial"/>
        <w:sz w:val="24"/>
      </w:rPr>
    </w:pPr>
    <w:r>
      <w:rPr>
        <w:sz w:val="24"/>
      </w:rPr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bidi w:val="0"/>
      <w:spacing w:before="0" w:after="0"/>
      <w:ind w:firstLine="720"/>
      <w:jc w:val="both"/>
    </w:pPr>
    <w:rPr>
      <w:rFonts w:ascii="Arial" w:hAnsi="Arial" w:eastAsia="Symbol" w:cs="Wingdings"/>
      <w:color w:val="auto"/>
      <w:kern w:val="2"/>
      <w:sz w:val="26"/>
      <w:szCs w:val="24"/>
      <w:lang w:val="ru-RU" w:eastAsia="zh-CN" w:bidi="hi-IN"/>
    </w:rPr>
  </w:style>
  <w:style w:type="paragraph" w:styleId="Heading1">
    <w:name w:val="Heading 1"/>
    <w:basedOn w:val="Normal"/>
    <w:next w:val="Normal"/>
    <w:qFormat/>
    <w:pPr>
      <w:spacing w:before="108" w:after="108"/>
      <w:ind w:hanging="0"/>
      <w:jc w:val="center"/>
    </w:pPr>
    <w:rPr>
      <w:b/>
      <w:color w:val="26282F"/>
    </w:rPr>
  </w:style>
  <w:style w:type="character" w:styleId="Style13">
    <w:name w:val="Гипертекстовая ссылка"/>
    <w:basedOn w:val="Style14"/>
    <w:qFormat/>
    <w:rPr>
      <w:b w:val="false"/>
      <w:color w:val="106BBE"/>
      <w:sz w:val="24"/>
    </w:rPr>
  </w:style>
  <w:style w:type="character" w:styleId="Style14">
    <w:name w:val="Цветовое выделение"/>
    <w:qFormat/>
    <w:rPr>
      <w:b/>
      <w:color w:val="26282F"/>
      <w:sz w:val="24"/>
    </w:rPr>
  </w:style>
  <w:style w:type="character" w:styleId="Style15">
    <w:name w:val="Цветовое выделение для Текст"/>
    <w:qFormat/>
    <w:rPr/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Style18">
    <w:name w:val="Прижатый влево"/>
    <w:basedOn w:val="Normal"/>
    <w:next w:val="Normal"/>
    <w:qFormat/>
    <w:pPr>
      <w:ind w:hanging="0"/>
      <w:jc w:val="start"/>
    </w:pPr>
    <w:rPr/>
  </w:style>
  <w:style w:type="paragraph" w:styleId="Style19">
    <w:name w:val="Нормальный (таблица)"/>
    <w:basedOn w:val="Normal"/>
    <w:next w:val="Normal"/>
    <w:qFormat/>
    <w:pPr>
      <w:ind w:hanging="0"/>
    </w:pPr>
    <w:rPr/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next w:val="Normal"/>
    <w:pPr>
      <w:ind w:hanging="0"/>
      <w:jc w:val="center"/>
    </w:pPr>
    <w:rPr>
      <w:rFonts w:ascii="Times New Roman" w:hAnsi="Times New Roman"/>
      <w:sz w:val="20"/>
    </w:rPr>
  </w:style>
  <w:style w:type="paragraph" w:styleId="Footer">
    <w:name w:val="Footer"/>
    <w:basedOn w:val="Normal"/>
    <w:next w:val="Normal"/>
    <w:pPr>
      <w:ind w:hanging="0"/>
      <w:jc w:val="start"/>
    </w:pPr>
    <w:rPr>
      <w:rFonts w:ascii="Times New Roman" w:hAnsi="Times New Roman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ternet.garant.ru/document/redirect/9009386/0" TargetMode="External"/><Relationship Id="rId3" Type="http://schemas.openxmlformats.org/officeDocument/2006/relationships/hyperlink" Target="https://internet.garant.ru/document/redirect/70292414/2002" TargetMode="External"/><Relationship Id="rId4" Type="http://schemas.openxmlformats.org/officeDocument/2006/relationships/hyperlink" Target="https://internet.garant.ru/document/redirect/70292414/0" TargetMode="External"/><Relationship Id="rId5" Type="http://schemas.openxmlformats.org/officeDocument/2006/relationships/hyperlink" Target="https://internet.garant.ru/document/redirect/12135831/0" TargetMode="External"/><Relationship Id="rId6" Type="http://schemas.openxmlformats.org/officeDocument/2006/relationships/hyperlink" Target="https://internet.garant.ru/document/redirect/70292414/2005" TargetMode="External"/><Relationship Id="rId7" Type="http://schemas.openxmlformats.org/officeDocument/2006/relationships/hyperlink" Target="https://internet.garant.ru/document/redirect/70292414/2002" TargetMode="External"/><Relationship Id="rId8" Type="http://schemas.openxmlformats.org/officeDocument/2006/relationships/hyperlink" Target="https://internet.garant.ru/document/redirect/70292414/2008" TargetMode="External"/><Relationship Id="rId9" Type="http://schemas.openxmlformats.org/officeDocument/2006/relationships/hyperlink" Target="https://internet.garant.ru/document/redirect/8905120/0" TargetMode="Externa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LibreOffice/7.6.2.1$Windows_X86_64 LibreOffice_project/56f7684011345957bbf33a7ee678afaf4d2ba333</Application>
  <AppVersion>15.0000</AppVersion>
  <Pages>3</Pages>
  <Words>924</Words>
  <Characters>6252</Characters>
  <CharactersWithSpaces>7142</CharactersWithSpaces>
  <Paragraphs>37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dc:language>ru-RU</dc:language>
  <cp:lastModifiedBy/>
  <dcterms:modified xsi:type="dcterms:W3CDTF">2025-01-14T17:40:31Z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