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 w:firstLine="0" w:left="5103"/>
        <w:jc w:val="both"/>
        <w:rPr>
          <w:b w:val="1"/>
        </w:rPr>
      </w:pPr>
      <w:r>
        <w:rPr>
          <w:b w:val="1"/>
        </w:rPr>
        <w:t xml:space="preserve">       </w:t>
      </w:r>
      <w:r>
        <w:rPr>
          <w:b w:val="1"/>
        </w:rPr>
        <w:t>УТВЕРЖДЕН</w:t>
      </w:r>
    </w:p>
    <w:p w14:paraId="06000000">
      <w:pPr>
        <w:ind w:firstLine="0" w:left="5103"/>
        <w:jc w:val="both"/>
        <w:rPr>
          <w:b w:val="1"/>
        </w:rPr>
      </w:pPr>
      <w:r>
        <w:rPr>
          <w:b w:val="1"/>
        </w:rPr>
        <w:t xml:space="preserve">Общественным советом </w:t>
      </w:r>
    </w:p>
    <w:p w14:paraId="07000000">
      <w:pPr>
        <w:ind w:firstLine="0" w:left="5103"/>
        <w:jc w:val="both"/>
        <w:rPr>
          <w:b w:val="1"/>
        </w:rPr>
      </w:pPr>
      <w:r>
        <w:rPr>
          <w:b w:val="1"/>
        </w:rPr>
        <w:t xml:space="preserve">при Министерстве экономики, </w:t>
      </w:r>
    </w:p>
    <w:p w14:paraId="08000000">
      <w:pPr>
        <w:ind w:firstLine="0" w:left="5103"/>
        <w:jc w:val="both"/>
        <w:rPr>
          <w:b w:val="1"/>
        </w:rPr>
      </w:pPr>
      <w:r>
        <w:rPr>
          <w:b w:val="1"/>
        </w:rPr>
        <w:t xml:space="preserve">торговли и предпринимательства </w:t>
      </w:r>
    </w:p>
    <w:p w14:paraId="09000000">
      <w:pPr>
        <w:ind w:firstLine="0" w:left="5103"/>
        <w:jc w:val="both"/>
        <w:rPr>
          <w:b w:val="1"/>
        </w:rPr>
      </w:pPr>
      <w:r>
        <w:rPr>
          <w:b w:val="1"/>
        </w:rPr>
        <w:t xml:space="preserve">Республики Мордовия </w:t>
      </w:r>
    </w:p>
    <w:p w14:paraId="0A000000">
      <w:pPr>
        <w:ind w:firstLine="0" w:left="5103"/>
        <w:jc w:val="both"/>
        <w:rPr>
          <w:b w:val="1"/>
        </w:rPr>
      </w:pPr>
      <w:r>
        <w:rPr>
          <w:b w:val="1"/>
        </w:rPr>
        <w:t>23 января 2023 года</w:t>
      </w:r>
      <w:bookmarkStart w:id="1" w:name="_GoBack"/>
      <w:bookmarkEnd w:id="1"/>
    </w:p>
    <w:p w14:paraId="0B000000">
      <w:pPr>
        <w:ind w:firstLine="1134" w:left="-426"/>
        <w:jc w:val="center"/>
        <w:rPr>
          <w:b w:val="1"/>
        </w:rPr>
      </w:pPr>
    </w:p>
    <w:p w14:paraId="0C000000">
      <w:pPr>
        <w:ind w:firstLine="1134" w:left="-426"/>
        <w:jc w:val="center"/>
        <w:rPr>
          <w:b w:val="1"/>
        </w:rPr>
      </w:pPr>
    </w:p>
    <w:p w14:paraId="0D000000">
      <w:pPr>
        <w:ind w:firstLine="1134" w:left="-426"/>
        <w:jc w:val="center"/>
        <w:rPr>
          <w:b w:val="1"/>
        </w:rPr>
      </w:pPr>
    </w:p>
    <w:p w14:paraId="0E000000">
      <w:pPr>
        <w:ind w:firstLine="1134" w:left="-426"/>
        <w:jc w:val="center"/>
        <w:rPr>
          <w:b w:val="1"/>
        </w:rPr>
      </w:pPr>
      <w:r>
        <w:rPr>
          <w:b w:val="1"/>
        </w:rPr>
        <w:t>ДОКЛАД</w:t>
      </w:r>
    </w:p>
    <w:p w14:paraId="0F000000">
      <w:pPr>
        <w:tabs>
          <w:tab w:leader="none" w:pos="4860" w:val="left"/>
        </w:tabs>
        <w:ind/>
        <w:contextualSpacing w:val="1"/>
        <w:jc w:val="center"/>
      </w:pPr>
      <w:r>
        <w:rPr>
          <w:color w:val="000000"/>
        </w:rPr>
        <w:t xml:space="preserve">о </w:t>
      </w:r>
      <w:r>
        <w:rPr>
          <w:color w:val="000000"/>
        </w:rPr>
        <w:t xml:space="preserve">результатах </w:t>
      </w:r>
      <w:r>
        <w:t>функционирования</w:t>
      </w:r>
      <w:r>
        <w:t xml:space="preserve"> системы внутреннего обеспечения соответствия требованиям антимонопольного законодательства </w:t>
      </w:r>
    </w:p>
    <w:p w14:paraId="10000000">
      <w:pPr>
        <w:tabs>
          <w:tab w:leader="none" w:pos="4860" w:val="left"/>
        </w:tabs>
        <w:ind/>
        <w:contextualSpacing w:val="1"/>
        <w:jc w:val="center"/>
      </w:pPr>
      <w:r>
        <w:t xml:space="preserve">в Министерстве экономики, торговли и предпринимательства </w:t>
      </w:r>
    </w:p>
    <w:p w14:paraId="11000000">
      <w:pPr>
        <w:tabs>
          <w:tab w:leader="none" w:pos="4860" w:val="left"/>
        </w:tabs>
        <w:ind/>
        <w:contextualSpacing w:val="1"/>
        <w:jc w:val="center"/>
      </w:pPr>
      <w:r>
        <w:t xml:space="preserve">Республики Мордовия </w:t>
      </w:r>
      <w:r>
        <w:t>в</w:t>
      </w:r>
      <w:r>
        <w:t xml:space="preserve"> 202</w:t>
      </w:r>
      <w:r>
        <w:t>2</w:t>
      </w:r>
      <w:r>
        <w:t xml:space="preserve"> год</w:t>
      </w:r>
      <w:r>
        <w:t>у</w:t>
      </w:r>
    </w:p>
    <w:p w14:paraId="12000000">
      <w:pPr>
        <w:tabs>
          <w:tab w:leader="none" w:pos="4860" w:val="left"/>
        </w:tabs>
        <w:ind/>
        <w:contextualSpacing w:val="1"/>
        <w:jc w:val="center"/>
      </w:pPr>
    </w:p>
    <w:p w14:paraId="13000000">
      <w:pPr>
        <w:tabs>
          <w:tab w:leader="none" w:pos="4860" w:val="left"/>
        </w:tabs>
        <w:ind/>
        <w:contextualSpacing w:val="1"/>
      </w:pPr>
    </w:p>
    <w:p w14:paraId="14000000">
      <w:pPr>
        <w:ind w:firstLine="1134" w:left="-426"/>
        <w:jc w:val="both"/>
      </w:pPr>
    </w:p>
    <w:p w14:paraId="15000000">
      <w:pPr>
        <w:ind w:firstLine="708" w:left="0"/>
        <w:jc w:val="both"/>
      </w:pPr>
      <w:r>
        <w:t xml:space="preserve">Система внутреннего обеспечения соответствия требованиям антимонопольного законодательства (далее - антимонопольный </w:t>
      </w:r>
      <w:r>
        <w:t>комплаенс</w:t>
      </w:r>
      <w:r>
        <w:t>) в Министерстве экономики, торговли и предпринимательства Республики Мордовия (далее – Министерство) организован</w:t>
      </w:r>
      <w:r>
        <w:t>а</w:t>
      </w:r>
      <w:r>
        <w:t xml:space="preserve"> и функционирует в соответствии с распоряжением</w:t>
      </w:r>
      <w:r>
        <w:t xml:space="preserve"> Главы Республики Мордовия от 4 февраля </w:t>
      </w:r>
      <w:r>
        <w:t>2019 года № 76-</w:t>
      </w:r>
      <w:r>
        <w:t>РГ</w:t>
      </w:r>
      <w:r>
        <w:t>,</w:t>
      </w:r>
      <w:r>
        <w:t xml:space="preserve"> </w:t>
      </w:r>
      <w:r>
        <w:t>распоряжени</w:t>
      </w:r>
      <w:r>
        <w:t>ем</w:t>
      </w:r>
      <w:r>
        <w:t xml:space="preserve"> Правительства Республики Мордовия </w:t>
      </w:r>
      <w:r>
        <w:t xml:space="preserve">от </w:t>
      </w:r>
      <w:r>
        <w:t xml:space="preserve">18 февраля 2019 г.  </w:t>
      </w:r>
      <w:r>
        <w:t>№ 135-Р</w:t>
      </w:r>
      <w:r>
        <w:t xml:space="preserve"> </w:t>
      </w:r>
      <w:r>
        <w:t xml:space="preserve">(с изменениями и дополнениями) </w:t>
      </w:r>
      <w:r>
        <w:t xml:space="preserve">с 2019 года. </w:t>
      </w:r>
      <w:r>
        <w:t xml:space="preserve"> </w:t>
      </w:r>
    </w:p>
    <w:p w14:paraId="16000000">
      <w:pPr>
        <w:ind/>
        <w:jc w:val="both"/>
        <w:rPr>
          <w:b w:val="1"/>
        </w:rPr>
      </w:pPr>
    </w:p>
    <w:p w14:paraId="17000000">
      <w:pPr>
        <w:ind w:firstLine="709" w:left="0"/>
        <w:jc w:val="both"/>
        <w:rPr>
          <w:b w:val="1"/>
        </w:rPr>
      </w:pPr>
      <w:r>
        <w:rPr>
          <w:b w:val="1"/>
        </w:rPr>
        <w:t>1</w:t>
      </w:r>
      <w:r>
        <w:rPr>
          <w:b w:val="1"/>
        </w:rPr>
        <w:t>. О реализации мероприятий по снижению рисков нарушения Министерством ан</w:t>
      </w:r>
      <w:r>
        <w:rPr>
          <w:b w:val="1"/>
        </w:rPr>
        <w:t>тимонопольного законодательства</w:t>
      </w:r>
    </w:p>
    <w:p w14:paraId="18000000">
      <w:pPr>
        <w:ind w:firstLine="708" w:left="0"/>
        <w:jc w:val="both"/>
      </w:pPr>
      <w:r>
        <w:t xml:space="preserve">В целях обеспечения функционирования </w:t>
      </w:r>
      <w:r>
        <w:t>системы внутреннего обеспечения соответствия требованиям антимонопольного законодательства</w:t>
      </w:r>
      <w:r>
        <w:t xml:space="preserve"> в Министерстве</w:t>
      </w:r>
      <w:r>
        <w:t xml:space="preserve"> </w:t>
      </w:r>
      <w:r>
        <w:t>п</w:t>
      </w:r>
      <w:r>
        <w:t xml:space="preserve">риказом Министра экономики, торговли и предпринимательства Республики Мордовия от 25 мая 2021 г. № 122 утверждены </w:t>
      </w:r>
      <w:r>
        <w:t xml:space="preserve">карта </w:t>
      </w:r>
      <w:r>
        <w:t>комплаенс</w:t>
      </w:r>
      <w:r>
        <w:t>-рисков, план мероприятий («дорожн</w:t>
      </w:r>
      <w:r>
        <w:t>ая</w:t>
      </w:r>
      <w:r>
        <w:t xml:space="preserve"> карт</w:t>
      </w:r>
      <w:r>
        <w:t>а</w:t>
      </w:r>
      <w:r>
        <w:t xml:space="preserve">») по снижению </w:t>
      </w:r>
      <w:r>
        <w:t>комплаенс</w:t>
      </w:r>
      <w:r>
        <w:t>-рисков и ключевы</w:t>
      </w:r>
      <w:r>
        <w:t>е</w:t>
      </w:r>
      <w:r>
        <w:t xml:space="preserve"> показател</w:t>
      </w:r>
      <w:r>
        <w:t>и</w:t>
      </w:r>
      <w:r>
        <w:t xml:space="preserve"> эффективности функционирования антимонопольного </w:t>
      </w:r>
      <w:r>
        <w:t>комплаенса</w:t>
      </w:r>
      <w:r>
        <w:t xml:space="preserve"> Министерств</w:t>
      </w:r>
      <w:r>
        <w:t xml:space="preserve"> на 2021-2022 годы</w:t>
      </w:r>
      <w:r>
        <w:t>.</w:t>
      </w:r>
    </w:p>
    <w:p w14:paraId="19000000">
      <w:pPr>
        <w:ind w:firstLine="708" w:left="0"/>
        <w:jc w:val="both"/>
      </w:pPr>
      <w:r>
        <w:t xml:space="preserve">Картой </w:t>
      </w:r>
      <w:r>
        <w:t>комплаенс</w:t>
      </w:r>
      <w:r>
        <w:t>-рисков определены направления деятельности Министерства, имеющие риски нарушения антимонопольного законодательства</w:t>
      </w:r>
      <w:r>
        <w:t>. К ним относятся</w:t>
      </w:r>
      <w:r>
        <w:t xml:space="preserve"> </w:t>
      </w:r>
      <w:r>
        <w:t xml:space="preserve">следующие направления: </w:t>
      </w:r>
      <w:r>
        <w:t>инвестиционная деятельность; сфера закупок товаров, работ, услуг для обеспечения государственных и муниципальных нужд; лицензирование; развитие предпринимательской деятельности; сфера осуществления регионального государственного контроля (надзора); международное и межрегиональное сотрудничество; сфера разработки нормативно-правовых актов в рамках деятельности Министерства.</w:t>
      </w:r>
    </w:p>
    <w:p w14:paraId="1A000000">
      <w:pPr>
        <w:ind w:firstLine="708" w:left="0"/>
        <w:jc w:val="both"/>
      </w:pPr>
      <w:r>
        <w:t xml:space="preserve">В </w:t>
      </w:r>
      <w:r>
        <w:t xml:space="preserve">соответствии с </w:t>
      </w:r>
      <w:r>
        <w:t xml:space="preserve">Планом мероприятий </w:t>
      </w:r>
      <w:r>
        <w:t>«дорожной карт</w:t>
      </w:r>
      <w:r>
        <w:t>ой</w:t>
      </w:r>
      <w:r>
        <w:t>»</w:t>
      </w:r>
      <w:r>
        <w:t xml:space="preserve"> </w:t>
      </w:r>
      <w:r>
        <w:t>по снижению рисков</w:t>
      </w:r>
      <w:r>
        <w:t xml:space="preserve"> </w:t>
      </w:r>
      <w:r>
        <w:t>нарушения антимонопольного законодательства (</w:t>
      </w:r>
      <w:r>
        <w:t>комплаенс</w:t>
      </w:r>
      <w:r>
        <w:t xml:space="preserve">-рисков) </w:t>
      </w:r>
      <w:r>
        <w:t>п</w:t>
      </w:r>
      <w:r>
        <w:t>одразделениям</w:t>
      </w:r>
      <w:r>
        <w:t>и</w:t>
      </w:r>
      <w:r>
        <w:t xml:space="preserve"> Министерства, </w:t>
      </w:r>
      <w:r>
        <w:t>явля</w:t>
      </w:r>
      <w:r>
        <w:t>ющ</w:t>
      </w:r>
      <w:r>
        <w:t xml:space="preserve">имися ответственными за реализацию </w:t>
      </w:r>
      <w:r>
        <w:t>мероприятий</w:t>
      </w:r>
      <w:r>
        <w:t>, с целью выявления и снижения рисков нарушений антимонопольного законодательства, осуществлялись следующие мероприятия:</w:t>
      </w:r>
    </w:p>
    <w:p w14:paraId="1B000000">
      <w:pPr>
        <w:ind w:firstLine="708" w:left="0"/>
        <w:jc w:val="both"/>
      </w:pPr>
      <w:r>
        <w:t>прово</w:t>
      </w:r>
      <w:r>
        <w:t>д</w:t>
      </w:r>
      <w:r>
        <w:t>ился</w:t>
      </w:r>
      <w:r>
        <w:t xml:space="preserve"> </w:t>
      </w:r>
      <w:r>
        <w:t xml:space="preserve">анализ </w:t>
      </w:r>
      <w:r>
        <w:t xml:space="preserve">разрабатываемых (разработанных) </w:t>
      </w:r>
      <w:r>
        <w:t xml:space="preserve">нормативных правовых актов на предмет </w:t>
      </w:r>
      <w:r>
        <w:t xml:space="preserve">соответствия требованиям </w:t>
      </w:r>
      <w:r>
        <w:t>антимонополь</w:t>
      </w:r>
      <w:r>
        <w:t>ного законодательства;</w:t>
      </w:r>
    </w:p>
    <w:p w14:paraId="1C000000">
      <w:pPr>
        <w:ind w:firstLine="708" w:left="0"/>
        <w:jc w:val="both"/>
      </w:pPr>
      <w:r>
        <w:t>изучалась правоприменительная практика</w:t>
      </w:r>
      <w:r>
        <w:t>;</w:t>
      </w:r>
    </w:p>
    <w:p w14:paraId="1D000000">
      <w:pPr>
        <w:ind w:firstLine="708" w:left="0"/>
        <w:jc w:val="both"/>
      </w:pPr>
      <w:r>
        <w:t>осуществля</w:t>
      </w:r>
      <w:r>
        <w:t>лся монито</w:t>
      </w:r>
      <w:r>
        <w:t>ринг изменений законодательства</w:t>
      </w:r>
      <w:r>
        <w:t>;</w:t>
      </w:r>
    </w:p>
    <w:p w14:paraId="1E000000">
      <w:pPr>
        <w:ind w:firstLine="709" w:left="0" w:right="-12"/>
        <w:jc w:val="both"/>
      </w:pPr>
      <w:r>
        <w:t>было организовано обучение сотрудников основам антимонопольного законодательства.</w:t>
      </w:r>
      <w:r>
        <w:t xml:space="preserve"> </w:t>
      </w:r>
    </w:p>
    <w:p w14:paraId="1F000000">
      <w:pPr>
        <w:ind w:firstLine="709" w:left="0" w:right="-12"/>
        <w:jc w:val="both"/>
      </w:pPr>
      <w:r>
        <w:t>В 202</w:t>
      </w:r>
      <w:r>
        <w:t>2</w:t>
      </w:r>
      <w:r>
        <w:t xml:space="preserve"> году сотрудник</w:t>
      </w:r>
      <w:r>
        <w:t>и</w:t>
      </w:r>
      <w:r>
        <w:t xml:space="preserve"> Министерства и подведомственных ему организаций </w:t>
      </w:r>
      <w:r>
        <w:t xml:space="preserve">приняли участие в </w:t>
      </w:r>
      <w:r>
        <w:t>вебинаре</w:t>
      </w:r>
      <w:r>
        <w:t xml:space="preserve"> на тему</w:t>
      </w:r>
      <w:r>
        <w:t xml:space="preserve"> </w:t>
      </w:r>
      <w:r>
        <w:t xml:space="preserve">«Внедрение антимонопольного </w:t>
      </w:r>
      <w:r>
        <w:t>комплаенса</w:t>
      </w:r>
      <w:r>
        <w:t xml:space="preserve"> органами государственной власти и местного самоуправления».</w:t>
      </w:r>
      <w:r>
        <w:t xml:space="preserve"> Б</w:t>
      </w:r>
      <w:r>
        <w:t xml:space="preserve">ыли рассмотрены вопросы организации функционирования системы антимонопольного </w:t>
      </w:r>
      <w:r>
        <w:t>комплаенса</w:t>
      </w:r>
      <w:r>
        <w:t xml:space="preserve"> в исполнительных органах государственной власти</w:t>
      </w:r>
      <w:r>
        <w:t xml:space="preserve">, </w:t>
      </w:r>
      <w:r>
        <w:t>развитие антимонопольного з</w:t>
      </w:r>
      <w:r>
        <w:t>а</w:t>
      </w:r>
      <w:r>
        <w:t xml:space="preserve">конодательства в новых экономических условиях, </w:t>
      </w:r>
      <w:r>
        <w:t xml:space="preserve">изучен опыт внедрения антимонопольного </w:t>
      </w:r>
      <w:r>
        <w:t>комплаенса</w:t>
      </w:r>
      <w:r>
        <w:t xml:space="preserve"> </w:t>
      </w:r>
      <w:r>
        <w:t>в субъектах РФ.</w:t>
      </w:r>
    </w:p>
    <w:p w14:paraId="20000000">
      <w:pPr>
        <w:ind w:firstLine="708" w:left="0"/>
        <w:jc w:val="both"/>
      </w:pPr>
      <w:r>
        <w:t>В целях проведения независимой антикоррупционной экспертизы все проекты нормативных правовых актов, разработанных Министерством, размещались на официальной странице Министерства на портале органов государственной власти Республики Мордовия в информационной сети «Интернет» с необходимым обоснованием реализации предлагаемых решений, в том числе их влияния на конкуренцию.</w:t>
      </w:r>
      <w:r>
        <w:t xml:space="preserve"> Всего в</w:t>
      </w:r>
      <w:r>
        <w:t xml:space="preserve"> 202</w:t>
      </w:r>
      <w:r>
        <w:t>2</w:t>
      </w:r>
      <w:r>
        <w:t xml:space="preserve"> году было разработано и размещено </w:t>
      </w:r>
      <w:r>
        <w:t>58</w:t>
      </w:r>
      <w:r>
        <w:t xml:space="preserve"> </w:t>
      </w:r>
      <w:r>
        <w:t>проект</w:t>
      </w:r>
      <w:r>
        <w:t>ов</w:t>
      </w:r>
      <w:r>
        <w:t>,</w:t>
      </w:r>
      <w:r>
        <w:t xml:space="preserve"> из них</w:t>
      </w:r>
      <w:r>
        <w:t>:</w:t>
      </w:r>
    </w:p>
    <w:p w14:paraId="21000000">
      <w:pPr>
        <w:tabs>
          <w:tab w:leader="none" w:pos="1276" w:val="left"/>
        </w:tabs>
        <w:ind w:firstLine="709" w:left="0"/>
      </w:pPr>
      <w:r>
        <w:t xml:space="preserve">проектов законов Республики Мордовия – </w:t>
      </w:r>
      <w:r>
        <w:t>8</w:t>
      </w:r>
      <w:r>
        <w:t>;</w:t>
      </w:r>
    </w:p>
    <w:p w14:paraId="22000000">
      <w:pPr>
        <w:tabs>
          <w:tab w:leader="none" w:pos="1276" w:val="left"/>
        </w:tabs>
        <w:ind w:firstLine="709" w:left="0"/>
      </w:pPr>
      <w:r>
        <w:t xml:space="preserve">проектов указов Главы Республики Мордовия – </w:t>
      </w:r>
      <w:r>
        <w:t>6</w:t>
      </w:r>
      <w:r>
        <w:t>;</w:t>
      </w:r>
    </w:p>
    <w:p w14:paraId="23000000">
      <w:pPr>
        <w:tabs>
          <w:tab w:leader="none" w:pos="1276" w:val="left"/>
        </w:tabs>
        <w:ind w:firstLine="709" w:left="0"/>
      </w:pPr>
      <w:r>
        <w:t xml:space="preserve">проектов распоряжений Главы Республики Мордовия – </w:t>
      </w:r>
      <w:r>
        <w:t>1</w:t>
      </w:r>
      <w:r>
        <w:t>;</w:t>
      </w:r>
    </w:p>
    <w:p w14:paraId="24000000">
      <w:pPr>
        <w:tabs>
          <w:tab w:leader="none" w:pos="1276" w:val="left"/>
        </w:tabs>
        <w:ind w:firstLine="709" w:left="0"/>
      </w:pPr>
      <w:r>
        <w:t xml:space="preserve">проектов постановлений Правительства Республики Мордовия – </w:t>
      </w:r>
      <w:r>
        <w:t>2</w:t>
      </w:r>
      <w:r>
        <w:t>3</w:t>
      </w:r>
      <w:r>
        <w:t>;</w:t>
      </w:r>
    </w:p>
    <w:p w14:paraId="25000000">
      <w:pPr>
        <w:tabs>
          <w:tab w:leader="none" w:pos="1276" w:val="left"/>
        </w:tabs>
        <w:ind w:firstLine="709" w:left="0"/>
      </w:pPr>
      <w:r>
        <w:t xml:space="preserve">проектов распоряжений Правительства Республики Мордовия – </w:t>
      </w:r>
      <w:r>
        <w:t>1</w:t>
      </w:r>
      <w:r>
        <w:t>0</w:t>
      </w:r>
      <w:r>
        <w:t>;</w:t>
      </w:r>
    </w:p>
    <w:p w14:paraId="26000000">
      <w:pPr>
        <w:tabs>
          <w:tab w:leader="none" w:pos="1276" w:val="left"/>
        </w:tabs>
        <w:ind w:firstLine="709" w:left="0"/>
      </w:pPr>
      <w:r>
        <w:t xml:space="preserve">проектов приказов Министерства – </w:t>
      </w:r>
      <w:r>
        <w:t>10</w:t>
      </w:r>
      <w:r>
        <w:t>.</w:t>
      </w:r>
    </w:p>
    <w:p w14:paraId="27000000">
      <w:pPr>
        <w:ind w:firstLine="709" w:left="0" w:right="-12"/>
        <w:jc w:val="both"/>
      </w:pPr>
    </w:p>
    <w:p w14:paraId="28000000">
      <w:pPr>
        <w:ind w:firstLine="709" w:left="0"/>
        <w:jc w:val="both"/>
      </w:pPr>
      <w:r>
        <w:t>На</w:t>
      </w:r>
      <w:r>
        <w:t xml:space="preserve"> официальном сайте Министерства создан </w:t>
      </w:r>
      <w:r>
        <w:t xml:space="preserve">информационный </w:t>
      </w:r>
      <w:r>
        <w:t xml:space="preserve">раздел </w:t>
      </w:r>
      <w:r>
        <w:t xml:space="preserve">о </w:t>
      </w:r>
      <w:r>
        <w:t>правовых и организационных мерах</w:t>
      </w:r>
      <w:r>
        <w:t>,</w:t>
      </w:r>
      <w:r>
        <w:t xml:space="preserve"> </w:t>
      </w:r>
      <w:r>
        <w:t xml:space="preserve">направленных на </w:t>
      </w:r>
      <w:r>
        <w:t>предупреждени</w:t>
      </w:r>
      <w:r>
        <w:t>е</w:t>
      </w:r>
      <w:r>
        <w:t xml:space="preserve"> и уменьшени</w:t>
      </w:r>
      <w:r>
        <w:t>е</w:t>
      </w:r>
      <w:r>
        <w:t xml:space="preserve"> рисков</w:t>
      </w:r>
      <w:r>
        <w:t xml:space="preserve"> нарушения </w:t>
      </w:r>
      <w:r>
        <w:t>требований антимонопольного законодательства</w:t>
      </w:r>
      <w:r>
        <w:t>, где размещ</w:t>
      </w:r>
      <w:r>
        <w:t>ается</w:t>
      </w:r>
      <w:r>
        <w:t xml:space="preserve"> актуальная информация об организации и функционировании системы антимонопольного </w:t>
      </w:r>
      <w:r>
        <w:t>комплаенса</w:t>
      </w:r>
      <w:r>
        <w:t xml:space="preserve"> в Министерстве, ведомственные нормативные правовые акты, аналитическая информация.</w:t>
      </w:r>
    </w:p>
    <w:p w14:paraId="29000000">
      <w:pPr>
        <w:ind w:firstLine="709" w:left="0"/>
        <w:jc w:val="both"/>
      </w:pPr>
      <w:r>
        <w:t>В целях усиления профилактической работы по предотвращению нарушений антимонопольного законодательства, выявления и оценки рисков нарушения антимонопольного законодательства в 202</w:t>
      </w:r>
      <w:r>
        <w:t>2</w:t>
      </w:r>
      <w:r>
        <w:t xml:space="preserve"> году Министерство опубликовало перечень ведомственных нормативных правовых актов Министерства</w:t>
      </w:r>
      <w:r>
        <w:t xml:space="preserve">, подлежащих анализу на соответствие антимонопольному </w:t>
      </w:r>
      <w:r>
        <w:t>законодательству,</w:t>
      </w:r>
      <w:r>
        <w:t xml:space="preserve"> за трехлетний период и тексты указанных актов (</w:t>
      </w:r>
      <w:r>
        <w:t>12</w:t>
      </w:r>
      <w:r>
        <w:t xml:space="preserve"> приказов,</w:t>
      </w:r>
      <w:r>
        <w:t xml:space="preserve"> имеющих нормативный характер). Уведомление о сборе замечаний и предложений организаций и граждан относительно их соответствия антимонопольному законодательству Российской Федерации размещено в сети </w:t>
      </w:r>
      <w:r>
        <w:t>«Интернет» на сайте Министерства, на официальном портале органов государственной власти Республики Мордов</w:t>
      </w:r>
      <w:r>
        <w:t>ия.</w:t>
      </w:r>
      <w:r>
        <w:t xml:space="preserve"> Замечаний и предложений не поступало.</w:t>
      </w:r>
    </w:p>
    <w:p w14:paraId="2A000000">
      <w:pPr>
        <w:ind w:firstLine="709" w:left="0" w:right="-12"/>
        <w:jc w:val="both"/>
      </w:pPr>
    </w:p>
    <w:p w14:paraId="2B000000">
      <w:pPr>
        <w:ind w:firstLine="709" w:left="0"/>
        <w:jc w:val="both"/>
        <w:rPr>
          <w:b w:val="1"/>
        </w:rPr>
      </w:pPr>
      <w:r>
        <w:rPr>
          <w:b w:val="1"/>
        </w:rPr>
        <w:t>2</w:t>
      </w:r>
      <w:r>
        <w:rPr>
          <w:b w:val="1"/>
        </w:rPr>
        <w:t xml:space="preserve">. Оценка достижения ключевых показателей эффективности антимонопольного </w:t>
      </w:r>
      <w:r>
        <w:rPr>
          <w:b w:val="1"/>
        </w:rPr>
        <w:t>комплаенса</w:t>
      </w:r>
      <w:r>
        <w:rPr>
          <w:b w:val="1"/>
        </w:rPr>
        <w:t xml:space="preserve"> в Министерстве</w:t>
      </w:r>
    </w:p>
    <w:p w14:paraId="2C000000">
      <w:pPr>
        <w:tabs>
          <w:tab w:leader="none" w:pos="1500" w:val="left"/>
        </w:tabs>
        <w:ind w:firstLine="709" w:left="57"/>
        <w:jc w:val="both"/>
      </w:pPr>
      <w:r>
        <w:t xml:space="preserve">В соответствии с приказом ФАС России от 5.02.2019 № 133/19 осуществлен расчет ключевых показателей эффективности функционирования </w:t>
      </w:r>
      <w:r>
        <w:t xml:space="preserve">антимонопольного </w:t>
      </w:r>
      <w:r>
        <w:t>комплаенса</w:t>
      </w:r>
      <w:r>
        <w:t xml:space="preserve"> </w:t>
      </w:r>
      <w:r>
        <w:t>в Министерстве в 202</w:t>
      </w:r>
      <w:r>
        <w:t>2</w:t>
      </w:r>
      <w:r>
        <w:t xml:space="preserve"> году:</w:t>
      </w:r>
    </w:p>
    <w:p w14:paraId="2D000000">
      <w:pPr>
        <w:tabs>
          <w:tab w:leader="none" w:pos="1500" w:val="left"/>
        </w:tabs>
        <w:ind w:firstLine="709" w:left="57"/>
        <w:jc w:val="both"/>
      </w:pPr>
      <w:r>
        <w:t>а</w:t>
      </w:r>
      <w:r>
        <w:t>) доля проектов нормативных правовых актов Министерства, в которых выявлены риски нарушения антимонопольного законодательства</w:t>
      </w:r>
      <w:r>
        <w:t>,</w:t>
      </w:r>
      <w:r>
        <w:t xml:space="preserve"> равна нулю;</w:t>
      </w:r>
    </w:p>
    <w:p w14:paraId="2E000000">
      <w:pPr>
        <w:tabs>
          <w:tab w:leader="none" w:pos="1500" w:val="left"/>
        </w:tabs>
        <w:ind w:firstLine="709" w:left="57"/>
        <w:jc w:val="both"/>
      </w:pPr>
      <w:r>
        <w:t xml:space="preserve">б) доля сотрудников Министерства, в отношении которых были проведены обучающие мероприятия по антимонопольному законодательству и </w:t>
      </w:r>
      <w:r>
        <w:t xml:space="preserve">антимонопольному </w:t>
      </w:r>
      <w:r>
        <w:t>комплаенсу</w:t>
      </w:r>
      <w:r>
        <w:t xml:space="preserve">, составила </w:t>
      </w:r>
      <w:r>
        <w:t>0,</w:t>
      </w:r>
      <w:r>
        <w:t>1</w:t>
      </w:r>
      <w:r>
        <w:t>8</w:t>
      </w:r>
      <w:r>
        <w:t>;</w:t>
      </w:r>
    </w:p>
    <w:p w14:paraId="2F000000">
      <w:pPr>
        <w:tabs>
          <w:tab w:leader="none" w:pos="1500" w:val="left"/>
        </w:tabs>
        <w:ind w:firstLine="709" w:left="57"/>
        <w:jc w:val="both"/>
      </w:pPr>
      <w:r>
        <w:t>в) доля нормативных правовых актов Министерства, в которых выявлены риски нарушения антимонопольного законодательства</w:t>
      </w:r>
      <w:r>
        <w:t>,</w:t>
      </w:r>
      <w:r>
        <w:t xml:space="preserve"> равна нулю.</w:t>
      </w:r>
    </w:p>
    <w:p w14:paraId="30000000">
      <w:pPr>
        <w:tabs>
          <w:tab w:leader="none" w:pos="1500" w:val="left"/>
        </w:tabs>
        <w:ind w:firstLine="709" w:left="57"/>
        <w:jc w:val="both"/>
      </w:pPr>
      <w:r>
        <w:t xml:space="preserve">г) коэффициент снижения количества нарушений антимонопольного законодательства со стороны Министерства равен нулю, в связи с тем, что нарушения антимонопольного законодательства в </w:t>
      </w:r>
      <w:r>
        <w:t>2017 и отчетном годах отсутствуют.</w:t>
      </w:r>
    </w:p>
    <w:p w14:paraId="31000000">
      <w:pPr>
        <w:tabs>
          <w:tab w:leader="none" w:pos="1500" w:val="left"/>
        </w:tabs>
        <w:ind w:firstLine="709" w:left="57"/>
        <w:jc w:val="both"/>
      </w:pPr>
      <w:r>
        <w:t xml:space="preserve">Значения ключевых показателей эффективности функционирования в Министерстве антимонопольного </w:t>
      </w:r>
      <w:r>
        <w:t>комплаенса</w:t>
      </w:r>
      <w:r>
        <w:t xml:space="preserve"> в </w:t>
      </w:r>
      <w:r>
        <w:t>202</w:t>
      </w:r>
      <w:r>
        <w:t>2</w:t>
      </w:r>
      <w:r>
        <w:t xml:space="preserve"> году свидетельствуют об эффективности функционирования антимонопольного </w:t>
      </w:r>
      <w:r>
        <w:t>комплаенса</w:t>
      </w:r>
      <w:r>
        <w:t xml:space="preserve"> в Министерстве и о соответствии мероприятий антимонопольного </w:t>
      </w:r>
      <w:r>
        <w:t>комплаенса</w:t>
      </w:r>
      <w:r>
        <w:t xml:space="preserve"> Министерства направлениям совершенствования государственной политики по развитию конкуренции, установленных Указом Президента Российской Федерации от 21.12.2017 № 618 «Об основных направлениях государственной политики по развитию конкуренции».</w:t>
      </w:r>
    </w:p>
    <w:p w14:paraId="32000000">
      <w:pPr>
        <w:tabs>
          <w:tab w:leader="none" w:pos="1500" w:val="left"/>
        </w:tabs>
        <w:ind w:firstLine="709" w:left="57"/>
        <w:jc w:val="both"/>
      </w:pPr>
      <w:r>
        <w:t xml:space="preserve">Приказом Врио Министра экономики, торговли и предпринимательства Республики Мордовия от 20 октября 2022 года утверждены </w:t>
      </w:r>
      <w:r>
        <w:t xml:space="preserve">карта </w:t>
      </w:r>
      <w:r>
        <w:t>комплаенс</w:t>
      </w:r>
      <w:r>
        <w:t xml:space="preserve">-рисков, план мероприятий («дорожная карта») по снижению </w:t>
      </w:r>
      <w:r>
        <w:t>комплаенс</w:t>
      </w:r>
      <w:r>
        <w:t xml:space="preserve">-рисков и ключевые показатели эффективности функционирования антимонопольного </w:t>
      </w:r>
      <w:r>
        <w:t>комплаенса</w:t>
      </w:r>
      <w:r>
        <w:t xml:space="preserve"> Министерства на </w:t>
      </w:r>
      <w:r>
        <w:t xml:space="preserve">2023 год. Работа по соблюдению требований антимонопольного </w:t>
      </w:r>
      <w:r>
        <w:t>комплаенса</w:t>
      </w:r>
      <w:r>
        <w:t xml:space="preserve"> в Министерстве будет </w:t>
      </w:r>
      <w:r>
        <w:t>продолжена на системной основе</w:t>
      </w:r>
      <w:r>
        <w:t>.</w:t>
      </w:r>
    </w:p>
    <w:p w14:paraId="33000000">
      <w:pPr>
        <w:tabs>
          <w:tab w:leader="none" w:pos="1500" w:val="left"/>
        </w:tabs>
        <w:ind w:firstLine="709" w:left="57"/>
        <w:jc w:val="both"/>
      </w:pPr>
    </w:p>
    <w:sectPr>
      <w:headerReference r:id="rId2" w:type="first"/>
      <w:headerReference r:id="rId1" w:type="default"/>
      <w:pgSz w:h="16838" w:orient="portrait" w:w="11906"/>
      <w:pgMar w:bottom="1134" w:footer="709" w:gutter="0" w:header="340" w:left="1276" w:right="851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4"/>
      </w:rPr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2_ch" w:type="character">
    <w:name w:val="Normal"/>
    <w:link w:val="Style_2"/>
    <w:rPr>
      <w:rFonts w:ascii="Times New Roman" w:hAnsi="Times New Roman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footer"/>
    <w:basedOn w:val="Style_2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footer"/>
    <w:basedOn w:val="Style_2_ch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2"/>
    <w:link w:val="Style_11_ch"/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List Paragraph"/>
    <w:basedOn w:val="Style_2"/>
    <w:link w:val="Style_1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2_ch" w:type="character">
    <w:name w:val="List Paragraph"/>
    <w:basedOn w:val="Style_2_ch"/>
    <w:link w:val="Style_12"/>
    <w:rPr>
      <w:rFonts w:ascii="Calibri" w:hAnsi="Calibri"/>
      <w:sz w:val="22"/>
    </w:rPr>
  </w:style>
  <w:style w:styleId="Style_13" w:type="paragraph">
    <w:name w:val="endnote reference"/>
    <w:basedOn w:val="Style_9"/>
    <w:link w:val="Style_13_ch"/>
    <w:rPr>
      <w:vertAlign w:val="superscript"/>
    </w:rPr>
  </w:style>
  <w:style w:styleId="Style_13_ch" w:type="character">
    <w:name w:val="endnote reference"/>
    <w:basedOn w:val="Style_9_ch"/>
    <w:link w:val="Style_13"/>
    <w:rPr>
      <w:vertAlign w:val="superscript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basedOn w:val="Style_2"/>
    <w:link w:val="Style_17_ch"/>
    <w:rPr>
      <w:sz w:val="20"/>
    </w:rPr>
  </w:style>
  <w:style w:styleId="Style_17_ch" w:type="character">
    <w:name w:val="Footnote"/>
    <w:basedOn w:val="Style_2_ch"/>
    <w:link w:val="Style_17"/>
    <w:rPr>
      <w:sz w:val="20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Char Char"/>
    <w:basedOn w:val="Style_2"/>
    <w:link w:val="Style_19_ch"/>
    <w:pPr>
      <w:spacing w:after="160" w:line="240" w:lineRule="exact"/>
      <w:ind/>
    </w:pPr>
    <w:rPr>
      <w:rFonts w:ascii="Verdana" w:hAnsi="Verdana"/>
      <w:sz w:val="20"/>
    </w:rPr>
  </w:style>
  <w:style w:styleId="Style_19_ch" w:type="character">
    <w:name w:val="Char Char"/>
    <w:basedOn w:val="Style_2_ch"/>
    <w:link w:val="Style_19"/>
    <w:rPr>
      <w:rFonts w:ascii="Verdana" w:hAnsi="Verdana"/>
      <w:sz w:val="20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Default"/>
    <w:link w:val="Style_23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3_ch" w:type="character">
    <w:name w:val="Default"/>
    <w:link w:val="Style_23"/>
    <w:rPr>
      <w:rFonts w:ascii="Times New Roman" w:hAnsi="Times New Roman"/>
      <w:color w:val="000000"/>
      <w:sz w:val="24"/>
    </w:rPr>
  </w:style>
  <w:style w:styleId="Style_24" w:type="paragraph">
    <w:name w:val="Body Text"/>
    <w:basedOn w:val="Style_2"/>
    <w:link w:val="Style_24_ch"/>
    <w:pPr>
      <w:spacing w:after="140" w:line="288" w:lineRule="auto"/>
      <w:ind w:firstLine="680" w:left="0"/>
      <w:jc w:val="both"/>
    </w:pPr>
    <w:rPr>
      <w:color w:val="00000A"/>
    </w:rPr>
  </w:style>
  <w:style w:styleId="Style_24_ch" w:type="character">
    <w:name w:val="Body Text"/>
    <w:basedOn w:val="Style_2_ch"/>
    <w:link w:val="Style_24"/>
    <w:rPr>
      <w:color w:val="00000A"/>
    </w:rPr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footnote reference"/>
    <w:basedOn w:val="Style_9"/>
    <w:link w:val="Style_27_ch"/>
    <w:rPr>
      <w:vertAlign w:val="superscript"/>
    </w:rPr>
  </w:style>
  <w:style w:styleId="Style_27_ch" w:type="character">
    <w:name w:val="footnote reference"/>
    <w:basedOn w:val="Style_9_ch"/>
    <w:link w:val="Style_27"/>
    <w:rPr>
      <w:vertAlign w:val="superscript"/>
    </w:rPr>
  </w:style>
  <w:style w:styleId="Style_28" w:type="paragraph">
    <w:name w:val="endnote text"/>
    <w:basedOn w:val="Style_2"/>
    <w:link w:val="Style_28_ch"/>
    <w:rPr>
      <w:sz w:val="20"/>
    </w:rPr>
  </w:style>
  <w:style w:styleId="Style_28_ch" w:type="character">
    <w:name w:val="endnote text"/>
    <w:basedOn w:val="Style_2_ch"/>
    <w:link w:val="Style_28"/>
    <w:rPr>
      <w:sz w:val="20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basedOn w:val="Style_2"/>
    <w:link w:val="Style_31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31_ch" w:type="character">
    <w:name w:val="heading 2"/>
    <w:basedOn w:val="Style_2_ch"/>
    <w:link w:val="Style_31"/>
    <w:rPr>
      <w:b w:val="1"/>
      <w:sz w:val="36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2023-01-23T12:25:41Z</dcterms:modified>
</cp:coreProperties>
</file>