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0" w:after="0"/>
        <w:jc w:val="center"/>
        <w:rPr>
          <w:sz w:val="32"/>
        </w:rPr>
      </w:pPr>
      <w:r>
        <w:rPr>
          <w:sz w:val="32"/>
        </w:rPr>
        <w:t xml:space="preserve">О состоянии потребительского рынка Республики Мордовия </w:t>
      </w:r>
    </w:p>
    <w:p>
      <w:pPr>
        <w:pStyle w:val="3"/>
        <w:spacing w:before="0" w:after="0"/>
        <w:jc w:val="center"/>
        <w:rPr>
          <w:sz w:val="32"/>
        </w:rPr>
      </w:pPr>
      <w:r>
        <w:rPr>
          <w:sz w:val="32"/>
        </w:rPr>
        <w:t>за январь 2025 года</w:t>
      </w:r>
    </w:p>
    <w:p>
      <w:pPr>
        <w:pStyle w:val="3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За январь 2025 года населению республики продано потребительских товаров через все каналы реализации на сумму                                                  </w:t>
      </w:r>
      <w:r>
        <w:rPr>
          <w:b/>
          <w:bCs/>
          <w:sz w:val="28"/>
        </w:rPr>
        <w:t>18</w:t>
      </w:r>
      <w:r>
        <w:rPr>
          <w:b/>
          <w:sz w:val="28"/>
        </w:rPr>
        <w:t xml:space="preserve"> 078,5 млн. рублей</w:t>
      </w:r>
      <w:r>
        <w:rPr>
          <w:sz w:val="28"/>
        </w:rPr>
        <w:t xml:space="preserve">, что в товарной массе на </w:t>
      </w:r>
      <w:r>
        <w:rPr>
          <w:b/>
          <w:bCs/>
          <w:sz w:val="28"/>
        </w:rPr>
        <w:t>10,4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процента больше, чем за аналогичный период 2024 года. 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 xml:space="preserve">Индексы физического объема оборота розничной торговли 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за 2024 – 2025 гг.</w:t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  <w:t>(в процентах к соответствующему периоду предыдущего года)</w:t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865505</wp:posOffset>
            </wp:positionH>
            <wp:positionV relativeFrom="paragraph">
              <wp:posOffset>635</wp:posOffset>
            </wp:positionV>
            <wp:extent cx="4144645" cy="1084580"/>
            <wp:effectExtent l="0" t="0" r="0" b="0"/>
            <wp:wrapSquare wrapText="largest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Оборот розничной торговли на </w:t>
      </w:r>
      <w:r>
        <w:rPr>
          <w:b/>
          <w:sz w:val="28"/>
        </w:rPr>
        <w:t>95,7%</w:t>
      </w:r>
      <w:r>
        <w:rPr>
          <w:sz w:val="28"/>
        </w:rPr>
        <w:t xml:space="preserve">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                          </w:t>
      </w:r>
      <w:r>
        <w:rPr>
          <w:b/>
          <w:sz w:val="28"/>
        </w:rPr>
        <w:t>4,3%</w:t>
      </w:r>
      <w:r>
        <w:rPr>
          <w:sz w:val="28"/>
        </w:rPr>
        <w:t xml:space="preserve"> (в аналогичном периоде 2024 г. – 4,1 процента). </w:t>
      </w:r>
    </w:p>
    <w:p>
      <w:pPr>
        <w:pStyle w:val="NormalWeb1"/>
        <w:spacing w:before="0" w:after="0"/>
        <w:ind w:left="0" w:right="0" w:firstLine="720"/>
        <w:jc w:val="both"/>
        <w:rPr>
          <w:highlight w:val="none"/>
          <w:shd w:fill="FFFF00" w:val="clear"/>
        </w:rPr>
      </w:pPr>
      <w:r>
        <w:rPr>
          <w:color w:val="000000"/>
          <w:sz w:val="28"/>
          <w:shd w:fill="FFFFFF" w:val="clear"/>
        </w:rPr>
        <w:t>Оборот розничной торговли на одного жителя по республике сложился в сумме</w:t>
      </w:r>
      <w:r>
        <w:rPr>
          <w:b/>
          <w:color w:val="000000"/>
          <w:sz w:val="28"/>
          <w:shd w:fill="FFFFFF" w:val="clear"/>
        </w:rPr>
        <w:t xml:space="preserve"> 2</w:t>
      </w:r>
      <w:r>
        <w:rPr>
          <w:b/>
          <w:color w:val="000000"/>
          <w:sz w:val="28"/>
          <w:shd w:fill="FFFFFF" w:val="clear"/>
          <w:lang w:val="en-US"/>
        </w:rPr>
        <w:t>3</w:t>
      </w:r>
      <w:r>
        <w:rPr>
          <w:b/>
          <w:color w:val="000000"/>
          <w:sz w:val="28"/>
          <w:shd w:fill="FFFFFF" w:val="clear"/>
        </w:rPr>
        <w:t xml:space="preserve"> </w:t>
      </w:r>
      <w:r>
        <w:rPr>
          <w:b/>
          <w:color w:val="000000"/>
          <w:sz w:val="28"/>
          <w:shd w:fill="FFFFFF" w:val="clear"/>
          <w:lang w:val="en-US"/>
        </w:rPr>
        <w:t>5</w:t>
      </w:r>
      <w:r>
        <w:rPr>
          <w:b/>
          <w:color w:val="000000"/>
          <w:sz w:val="28"/>
          <w:shd w:fill="FFFFFF" w:val="clear"/>
          <w:lang w:val="en-US"/>
        </w:rPr>
        <w:t>07</w:t>
      </w:r>
      <w:r>
        <w:rPr>
          <w:b/>
          <w:color w:val="000000"/>
          <w:sz w:val="28"/>
          <w:shd w:fill="FFFFFF" w:val="clear"/>
        </w:rPr>
        <w:t>,</w:t>
      </w:r>
      <w:r>
        <w:rPr>
          <w:b/>
          <w:color w:val="000000"/>
          <w:sz w:val="28"/>
          <w:shd w:fill="FFFFFF" w:val="clear"/>
          <w:lang w:val="en-US"/>
        </w:rPr>
        <w:t>7</w:t>
      </w:r>
      <w:r>
        <w:rPr>
          <w:b/>
          <w:color w:val="000000"/>
          <w:sz w:val="28"/>
          <w:shd w:fill="FFFFFF" w:val="clear"/>
        </w:rPr>
        <w:t xml:space="preserve"> рубл</w:t>
      </w:r>
      <w:r>
        <w:rPr>
          <w:b/>
          <w:color w:val="000000"/>
          <w:sz w:val="28"/>
          <w:shd w:fill="FFFFFF" w:val="clear"/>
          <w:lang w:val="ru-RU"/>
        </w:rPr>
        <w:t>я</w:t>
      </w:r>
      <w:r>
        <w:rPr>
          <w:color w:val="000000"/>
          <w:sz w:val="28"/>
          <w:shd w:fill="FFFFFF" w:val="clear"/>
        </w:rPr>
        <w:t xml:space="preserve"> (в сопоставимых ценах). По обороту розничной торговли на душу населения за январь</w:t>
      </w:r>
      <w:r>
        <w:rPr>
          <w:color w:val="000000"/>
          <w:sz w:val="28"/>
          <w:shd w:fill="FFFFFF" w:val="clear"/>
          <w:lang w:val="ru-RU"/>
        </w:rPr>
        <w:t xml:space="preserve"> </w:t>
      </w:r>
      <w:r>
        <w:rPr>
          <w:color w:val="000000"/>
          <w:sz w:val="28"/>
          <w:shd w:fill="FFFFFF" w:val="clear"/>
        </w:rPr>
        <w:t>202</w:t>
      </w:r>
      <w:r>
        <w:rPr>
          <w:color w:val="000000"/>
          <w:sz w:val="28"/>
          <w:shd w:fill="FFFFFF" w:val="clear"/>
          <w:lang w:val="en-US"/>
        </w:rPr>
        <w:t>5</w:t>
      </w:r>
      <w:r>
        <w:rPr>
          <w:color w:val="000000"/>
          <w:sz w:val="28"/>
          <w:shd w:fill="FFFFFF" w:val="clear"/>
        </w:rPr>
        <w:t xml:space="preserve"> года Республика Мордовия по рейтингу среди республик и областей ПФО занимает</w:t>
      </w:r>
      <w:r>
        <w:rPr>
          <w:b/>
          <w:color w:val="000000"/>
          <w:sz w:val="28"/>
          <w:shd w:fill="FFFFFF" w:val="clear"/>
        </w:rPr>
        <w:t xml:space="preserve"> 10 место.</w:t>
      </w:r>
      <w:r>
        <w:rPr>
          <w:color w:val="000000"/>
          <w:sz w:val="28"/>
          <w:shd w:fill="FFFFFF" w:val="clear"/>
        </w:rPr>
        <w:t xml:space="preserve"> Самый высокий показатель, достигнут в Нижегородской области – </w:t>
      </w:r>
      <w:r>
        <w:rPr>
          <w:b/>
          <w:color w:val="000000"/>
          <w:sz w:val="28"/>
          <w:shd w:fill="FFFFFF" w:val="clear"/>
        </w:rPr>
        <w:t xml:space="preserve"> </w:t>
      </w:r>
      <w:r>
        <w:rPr>
          <w:b/>
          <w:color w:val="000000"/>
          <w:sz w:val="28"/>
          <w:shd w:fill="FFFFFF" w:val="clear"/>
          <w:lang w:val="en-US"/>
        </w:rPr>
        <w:t>35</w:t>
      </w:r>
      <w:r>
        <w:rPr>
          <w:b/>
          <w:color w:val="000000"/>
          <w:sz w:val="28"/>
          <w:shd w:fill="FFFFFF" w:val="clear"/>
        </w:rPr>
        <w:t xml:space="preserve"> </w:t>
      </w:r>
      <w:r>
        <w:rPr>
          <w:b/>
          <w:color w:val="000000"/>
          <w:sz w:val="28"/>
          <w:shd w:fill="FFFFFF" w:val="clear"/>
          <w:lang w:val="en-US"/>
        </w:rPr>
        <w:t>017</w:t>
      </w:r>
      <w:r>
        <w:rPr>
          <w:b/>
          <w:color w:val="000000"/>
          <w:sz w:val="28"/>
          <w:shd w:fill="FFFFFF" w:val="clear"/>
        </w:rPr>
        <w:t>,</w:t>
      </w:r>
      <w:r>
        <w:rPr>
          <w:b/>
          <w:color w:val="000000"/>
          <w:sz w:val="28"/>
          <w:shd w:fill="FFFFFF" w:val="clear"/>
          <w:lang w:val="en-US"/>
        </w:rPr>
        <w:t>3</w:t>
      </w:r>
      <w:r>
        <w:rPr>
          <w:b/>
          <w:color w:val="000000"/>
          <w:sz w:val="28"/>
          <w:shd w:fill="FFFFFF" w:val="clear"/>
        </w:rPr>
        <w:t xml:space="preserve"> рублей.</w:t>
      </w:r>
      <w:r>
        <w:rPr>
          <w:b/>
          <w:sz w:val="28"/>
          <w:shd w:fill="FFFFFF" w:val="clear"/>
        </w:rPr>
        <w:t xml:space="preserve"> </w:t>
      </w:r>
      <w:r>
        <w:rPr>
          <w:sz w:val="28"/>
          <w:shd w:fill="FFFFFF" w:val="clear"/>
        </w:rPr>
        <w:t>По индексу физического объема оборота розничной торговли среди регионов ПФО Республика Мордовия занимает</w:t>
      </w:r>
      <w:r>
        <w:rPr>
          <w:sz w:val="28"/>
          <w:shd w:fill="FFFFFF" w:val="clear"/>
          <w:lang w:val="en-US"/>
        </w:rPr>
        <w:t xml:space="preserve"> </w:t>
      </w:r>
      <w:r>
        <w:rPr>
          <w:b/>
          <w:bCs/>
          <w:sz w:val="28"/>
          <w:shd w:fill="FFFFFF" w:val="clear"/>
          <w:lang w:val="en-US"/>
        </w:rPr>
        <w:t>2</w:t>
      </w:r>
      <w:r>
        <w:rPr>
          <w:b/>
          <w:sz w:val="28"/>
          <w:shd w:fill="FFFFFF" w:val="clear"/>
          <w:lang w:val="en-US"/>
        </w:rPr>
        <w:t xml:space="preserve"> </w:t>
      </w:r>
      <w:r>
        <w:rPr>
          <w:b/>
          <w:sz w:val="28"/>
          <w:shd w:fill="FFFFFF" w:val="clear"/>
        </w:rPr>
        <w:t>место</w:t>
      </w:r>
      <w:r>
        <w:rPr>
          <w:sz w:val="28"/>
          <w:shd w:fill="FFFFFF" w:val="clear"/>
        </w:rPr>
        <w:t xml:space="preserve"> (темп роста – </w:t>
      </w:r>
      <w:r>
        <w:rPr>
          <w:b/>
          <w:sz w:val="28"/>
          <w:shd w:fill="FFFFFF" w:val="clear"/>
        </w:rPr>
        <w:t>1</w:t>
      </w:r>
      <w:r>
        <w:rPr>
          <w:b/>
          <w:sz w:val="28"/>
          <w:shd w:fill="FFFFFF" w:val="clear"/>
          <w:lang w:val="en-US"/>
        </w:rPr>
        <w:t>10,4</w:t>
      </w:r>
      <w:r>
        <w:rPr>
          <w:b/>
          <w:sz w:val="28"/>
          <w:shd w:fill="FFFFFF" w:val="clear"/>
        </w:rPr>
        <w:t xml:space="preserve"> процента).</w:t>
      </w:r>
      <w:r>
        <w:rPr>
          <w:b/>
          <w:sz w:val="28"/>
          <w:shd w:fill="FFFF00" w:val="clear"/>
        </w:rPr>
        <w:t xml:space="preserve"> </w:t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Оборот розничной торговли по регионам ПФО 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в январе  2025 г.</w:t>
      </w:r>
    </w:p>
    <w:p>
      <w:pPr>
        <w:pStyle w:val="NormalWeb1"/>
        <w:spacing w:before="0" w:after="0"/>
        <w:ind w:left="0" w:right="0" w:hanging="0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48260</wp:posOffset>
            </wp:positionH>
            <wp:positionV relativeFrom="paragraph">
              <wp:posOffset>635</wp:posOffset>
            </wp:positionV>
            <wp:extent cx="5462270" cy="3072130"/>
            <wp:effectExtent l="0" t="0" r="0" b="0"/>
            <wp:wrapSquare wrapText="largest"/>
            <wp:docPr id="2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09"/>
        <w:jc w:val="both"/>
        <w:rPr/>
      </w:pPr>
      <w:r>
        <w:rPr>
          <w:b w:val="false"/>
          <w:sz w:val="28"/>
        </w:rPr>
        <w:t xml:space="preserve">За </w:t>
      </w:r>
      <w:bookmarkStart w:id="0" w:name="_Hlk4080835"/>
      <w:r>
        <w:rPr>
          <w:b w:val="false"/>
          <w:sz w:val="28"/>
        </w:rPr>
        <w:t>январь</w:t>
      </w:r>
      <w:bookmarkEnd w:id="0"/>
      <w:r>
        <w:rPr>
          <w:b w:val="false"/>
          <w:sz w:val="28"/>
        </w:rPr>
        <w:t xml:space="preserve">  2025 года пищевых продуктов, включая напитки, и табачных изделий, продано населению на</w:t>
      </w:r>
      <w:r>
        <w:rPr>
          <w:b/>
          <w:sz w:val="28"/>
        </w:rPr>
        <w:t xml:space="preserve"> 8 330,6 млн. рублей,</w:t>
      </w:r>
      <w:r>
        <w:rPr>
          <w:b w:val="false"/>
          <w:sz w:val="28"/>
        </w:rPr>
        <w:t xml:space="preserve"> что в сопоставимых ценах на </w:t>
      </w:r>
      <w:r>
        <w:rPr>
          <w:b/>
          <w:sz w:val="28"/>
        </w:rPr>
        <w:t xml:space="preserve">13,9% </w:t>
      </w:r>
      <w:r>
        <w:rPr>
          <w:b w:val="false"/>
          <w:sz w:val="28"/>
        </w:rPr>
        <w:t>больше продажи аналогичного периода предыдущего года. В структуре оборота розничной торговли их удельный вес составил</w:t>
      </w:r>
      <w:r>
        <w:rPr>
          <w:b/>
          <w:sz w:val="28"/>
        </w:rPr>
        <w:t xml:space="preserve">                46,1 процента.</w:t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  <w:t xml:space="preserve">В товарной структуре розничной торговли пищевыми продуктами предприятий, не относящихся к субъектам малого предпринимательства, преобладают молочные продукты, продукты из мяса, кондитерские изделия, свежие фрукты, свежие овощи, мясо домашней птицы, рыба и морепродукты, яйцо птицы, а также хлеб и хлебобулочные изделия. 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За январь 2025 года населению реализовано </w:t>
      </w:r>
      <w:r>
        <w:rPr>
          <w:b/>
          <w:sz w:val="28"/>
        </w:rPr>
        <w:t>непродовольственных товаров</w:t>
      </w:r>
      <w:r>
        <w:rPr>
          <w:sz w:val="28"/>
        </w:rPr>
        <w:t xml:space="preserve"> на сумму</w:t>
      </w:r>
      <w:r>
        <w:rPr>
          <w:b/>
          <w:sz w:val="28"/>
        </w:rPr>
        <w:t xml:space="preserve"> 9 748,0 млн. рублей</w:t>
      </w:r>
      <w:r>
        <w:rPr>
          <w:sz w:val="28"/>
        </w:rPr>
        <w:t>, что на 7,7</w:t>
      </w:r>
      <w:r>
        <w:rPr>
          <w:b/>
          <w:bCs/>
          <w:sz w:val="28"/>
        </w:rPr>
        <w:t>%</w:t>
      </w:r>
      <w:r>
        <w:rPr>
          <w:sz w:val="28"/>
        </w:rPr>
        <w:t xml:space="preserve"> больше, чем за соответствующий период 2024 года. Удельный вес непродовольственных товаров в обороте розничной торговли составил </w:t>
      </w:r>
      <w:r>
        <w:rPr>
          <w:b/>
          <w:sz w:val="28"/>
        </w:rPr>
        <w:t>53,9 процента.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По состоянию на 1 февраля 2025 года объем товарных запасов в организациях розничной торговли составил </w:t>
      </w:r>
      <w:r>
        <w:rPr>
          <w:b/>
          <w:bCs/>
          <w:sz w:val="28"/>
        </w:rPr>
        <w:t>11 749</w:t>
      </w:r>
      <w:r>
        <w:rPr>
          <w:b/>
          <w:sz w:val="28"/>
        </w:rPr>
        <w:t xml:space="preserve">,2 млн. рублей. 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Оборот оптовой торговли в январе 2025 года составил                            </w:t>
      </w:r>
      <w:r>
        <w:rPr>
          <w:b/>
          <w:color w:val="000000"/>
          <w:sz w:val="28"/>
        </w:rPr>
        <w:t>11 515,9 млн. р</w:t>
      </w:r>
      <w:r>
        <w:rPr>
          <w:b/>
          <w:sz w:val="28"/>
        </w:rPr>
        <w:t>ублей</w:t>
      </w:r>
      <w:r>
        <w:rPr>
          <w:sz w:val="28"/>
        </w:rPr>
        <w:t xml:space="preserve"> или </w:t>
      </w:r>
      <w:r>
        <w:rPr>
          <w:b/>
          <w:sz w:val="28"/>
        </w:rPr>
        <w:t xml:space="preserve">113,7% </w:t>
      </w:r>
      <w:r>
        <w:rPr>
          <w:sz w:val="28"/>
        </w:rPr>
        <w:t xml:space="preserve">к соответствующему периоду 2024 года. В том числе оборот оптовой торговли организаций оптовой торговли сложился в сумме </w:t>
      </w:r>
      <w:r>
        <w:rPr>
          <w:b/>
          <w:bCs/>
          <w:sz w:val="28"/>
        </w:rPr>
        <w:t>10 139,1</w:t>
      </w:r>
      <w:r>
        <w:rPr>
          <w:b/>
          <w:sz w:val="28"/>
        </w:rPr>
        <w:t xml:space="preserve"> млн. рублей</w:t>
      </w:r>
      <w:r>
        <w:rPr>
          <w:sz w:val="28"/>
        </w:rPr>
        <w:t xml:space="preserve"> или </w:t>
      </w:r>
      <w:r>
        <w:rPr>
          <w:b/>
          <w:sz w:val="28"/>
        </w:rPr>
        <w:t>117,1%</w:t>
      </w:r>
      <w:r>
        <w:rPr>
          <w:sz w:val="28"/>
        </w:rPr>
        <w:t xml:space="preserve"> к январю 2024 года и составил </w:t>
      </w:r>
      <w:r>
        <w:rPr>
          <w:b/>
          <w:sz w:val="28"/>
        </w:rPr>
        <w:t>88,0%</w:t>
      </w:r>
      <w:r>
        <w:rPr>
          <w:sz w:val="28"/>
        </w:rPr>
        <w:t xml:space="preserve"> общего оборота оптовой торговли</w:t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>
          <w:b/>
          <w:sz w:val="28"/>
        </w:rPr>
        <w:t xml:space="preserve">Структура оборота оптовой торговли предприятий всех видов экономической деятельности </w:t>
      </w:r>
      <w:r>
        <w:rPr>
          <w:sz w:val="28"/>
        </w:rPr>
        <w:t>(в процентах к итогу)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январь 2025 года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46370" cy="3126105"/>
            <wp:effectExtent l="0" t="0" r="0" b="0"/>
            <wp:wrapSquare wrapText="largest"/>
            <wp:docPr id="3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NormalWeb1"/>
        <w:spacing w:lineRule="atLeast" w:line="240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spacing w:lineRule="atLeast" w:line="240" w:before="0" w:after="0"/>
        <w:jc w:val="center"/>
        <w:rPr>
          <w:sz w:val="28"/>
        </w:rPr>
      </w:pPr>
      <w:r>
        <w:rPr>
          <w:sz w:val="28"/>
        </w:rPr>
        <w:t xml:space="preserve">    </w:t>
      </w:r>
    </w:p>
    <w:p>
      <w:pPr>
        <w:pStyle w:val="NormalWeb1"/>
        <w:spacing w:lineRule="atLeast" w:line="240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  <w:shd w:fill="auto" w:val="clear"/>
        </w:rPr>
        <w:t>январь 2024 года</w:t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45735" cy="3126105"/>
            <wp:effectExtent l="0" t="0" r="0" b="0"/>
            <wp:wrapSquare wrapText="largest"/>
            <wp:docPr id="4" name="Объе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По рейтингу среди республик и областей ПФО по индексу физического объема оборота оптовой торговли в январе 2025 г. Республика Мордовия занимает </w:t>
      </w:r>
      <w:r>
        <w:rPr>
          <w:b/>
          <w:bCs/>
          <w:sz w:val="28"/>
          <w:shd w:fill="auto" w:val="clear"/>
        </w:rPr>
        <w:t>1</w:t>
      </w:r>
      <w:r>
        <w:rPr>
          <w:b/>
          <w:sz w:val="28"/>
          <w:shd w:fill="auto" w:val="clear"/>
        </w:rPr>
        <w:t xml:space="preserve"> место</w:t>
      </w:r>
      <w:r>
        <w:rPr>
          <w:sz w:val="28"/>
          <w:shd w:fill="auto" w:val="clear"/>
        </w:rPr>
        <w:t xml:space="preserve">, темп роста составил </w:t>
      </w:r>
      <w:r>
        <w:rPr>
          <w:b/>
          <w:sz w:val="28"/>
          <w:shd w:fill="auto" w:val="clear"/>
        </w:rPr>
        <w:t>113,7 процента.</w:t>
      </w:r>
      <w:r>
        <w:rPr>
          <w:sz w:val="28"/>
          <w:shd w:fill="auto" w:val="clear"/>
        </w:rPr>
        <w:t xml:space="preserve"> Минимальное значение  в Пензенской области </w:t>
      </w:r>
      <w:r>
        <w:rPr>
          <w:b/>
          <w:sz w:val="28"/>
          <w:shd w:fill="auto" w:val="clear"/>
        </w:rPr>
        <w:t>(92,5 процента)</w:t>
      </w:r>
      <w:r>
        <w:rPr>
          <w:sz w:val="28"/>
          <w:shd w:fill="auto" w:val="clear"/>
        </w:rPr>
        <w:t>.</w:t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Оборот оптовой торговли в январе 2025 года</w:t>
      </w:r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bookmarkStart w:id="1" w:name="_Hlk504048507"/>
      <w:r>
        <w:rPr/>
        <w:t>(по организациям всех видов деятельности)</w:t>
      </w:r>
      <w:bookmarkEnd w:id="1"/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20995" cy="2932430"/>
            <wp:effectExtent l="0" t="0" r="0" b="0"/>
            <wp:wrapSquare wrapText="largest"/>
            <wp:docPr id="5" name="Объект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2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В январе 2025 года оборот общественного питания составил </w:t>
      </w:r>
      <w:r>
        <w:rPr>
          <w:b/>
          <w:sz w:val="28"/>
          <w:shd w:fill="auto" w:val="clear"/>
        </w:rPr>
        <w:t xml:space="preserve">                 867,8 млн. рублей</w:t>
      </w:r>
      <w:r>
        <w:rPr>
          <w:sz w:val="28"/>
          <w:shd w:fill="auto" w:val="clear"/>
        </w:rPr>
        <w:t xml:space="preserve">, что на </w:t>
      </w:r>
      <w:r>
        <w:rPr>
          <w:b/>
          <w:sz w:val="28"/>
          <w:shd w:fill="auto" w:val="clear"/>
        </w:rPr>
        <w:t xml:space="preserve">16,0% </w:t>
      </w:r>
      <w:r>
        <w:rPr>
          <w:sz w:val="28"/>
          <w:shd w:fill="auto" w:val="clear"/>
        </w:rPr>
        <w:t>выше января 2024 года</w:t>
      </w:r>
      <w:r>
        <w:rPr>
          <w:color w:val="000000"/>
          <w:sz w:val="28"/>
          <w:shd w:fill="auto" w:val="clear"/>
        </w:rPr>
        <w:t xml:space="preserve">. </w:t>
      </w:r>
      <w:r>
        <w:rPr>
          <w:color w:val="000000"/>
          <w:sz w:val="28"/>
          <w:shd w:fill="FFFFFF" w:val="clear"/>
        </w:rPr>
        <w:t xml:space="preserve">На одного жителя оборот общественного питания по республике составил                                     </w:t>
      </w:r>
      <w:r>
        <w:rPr>
          <w:b/>
          <w:bCs/>
          <w:color w:val="000000"/>
          <w:sz w:val="28"/>
          <w:shd w:fill="FFFFFF" w:val="clear"/>
          <w:lang w:val="en-US"/>
        </w:rPr>
        <w:t>1 128,4</w:t>
      </w:r>
      <w:r>
        <w:rPr>
          <w:b/>
          <w:color w:val="000000"/>
          <w:sz w:val="28"/>
          <w:shd w:fill="FFFFFF" w:val="clear"/>
        </w:rPr>
        <w:t xml:space="preserve"> рублей –</w:t>
      </w:r>
      <w:r>
        <w:rPr>
          <w:b/>
          <w:color w:val="C9211E"/>
          <w:sz w:val="28"/>
          <w:shd w:fill="FFFFFF" w:val="clear"/>
        </w:rPr>
        <w:t xml:space="preserve"> </w:t>
      </w:r>
      <w:r>
        <w:rPr>
          <w:b/>
          <w:color w:val="000000"/>
          <w:sz w:val="28"/>
          <w:shd w:fill="FFFFFF" w:val="clear"/>
        </w:rPr>
        <w:t>это</w:t>
      </w:r>
      <w:r>
        <w:rPr>
          <w:color w:val="000000"/>
          <w:sz w:val="28"/>
          <w:shd w:fill="FFFFFF" w:val="clear"/>
        </w:rPr>
        <w:t xml:space="preserve"> </w:t>
      </w:r>
      <w:r>
        <w:rPr>
          <w:b/>
          <w:color w:val="000000"/>
          <w:sz w:val="28"/>
          <w:shd w:fill="FFFFFF" w:val="clear"/>
        </w:rPr>
        <w:t xml:space="preserve">11 место </w:t>
      </w:r>
      <w:r>
        <w:rPr>
          <w:color w:val="000000"/>
          <w:sz w:val="28"/>
          <w:shd w:fill="FFFFFF" w:val="clear"/>
        </w:rPr>
        <w:t>в ПФО, самый высокий показатель в Республике Татарстан, где оборот общественного питания на душу населения составил</w:t>
      </w:r>
      <w:r>
        <w:rPr>
          <w:b/>
          <w:color w:val="000000"/>
          <w:sz w:val="28"/>
          <w:shd w:fill="FFFFFF" w:val="clear"/>
        </w:rPr>
        <w:t xml:space="preserve"> </w:t>
      </w:r>
      <w:r>
        <w:rPr>
          <w:b/>
          <w:color w:val="000000"/>
          <w:sz w:val="28"/>
          <w:shd w:fill="FFFFFF" w:val="clear"/>
          <w:lang w:val="en-US"/>
        </w:rPr>
        <w:t>1 766,9</w:t>
      </w:r>
      <w:r>
        <w:rPr>
          <w:b/>
          <w:color w:val="000000"/>
          <w:sz w:val="28"/>
          <w:shd w:fill="FFFFFF" w:val="clear"/>
        </w:rPr>
        <w:t xml:space="preserve"> рублей</w:t>
      </w:r>
      <w:r>
        <w:rPr>
          <w:color w:val="000000"/>
          <w:sz w:val="28"/>
          <w:shd w:fill="FFFFFF" w:val="clear"/>
        </w:rPr>
        <w:t xml:space="preserve">. 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Оборот общественного питания в январе 2025 года 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239770"/>
            <wp:effectExtent l="0" t="0" r="0" b="0"/>
            <wp:wrapSquare wrapText="largest"/>
            <wp:docPr id="6" name="Объект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20"/>
        <w:jc w:val="both"/>
        <w:rPr>
          <w:highlight w:val="none"/>
          <w:shd w:fill="FFFFFF" w:val="clear"/>
        </w:rPr>
      </w:pPr>
      <w:r>
        <w:rPr>
          <w:sz w:val="28"/>
          <w:shd w:fill="FFFFFF" w:val="clear"/>
        </w:rPr>
        <w:t>По индексу физического объема оборота общественного питания за январь 2025 года к соответствующему периоду 2024 года среди регионов ПФО Республика Мордовия занима</w:t>
      </w:r>
      <w:r>
        <w:rPr>
          <w:b w:val="false"/>
          <w:sz w:val="28"/>
          <w:shd w:fill="FFFFFF" w:val="clear"/>
        </w:rPr>
        <w:t>ет</w:t>
      </w:r>
      <w:r>
        <w:rPr>
          <w:b/>
          <w:sz w:val="28"/>
          <w:shd w:fill="FFFFFF" w:val="clear"/>
          <w:lang w:val="en-US"/>
        </w:rPr>
        <w:t xml:space="preserve"> </w:t>
      </w:r>
      <w:r>
        <w:rPr>
          <w:b/>
          <w:sz w:val="28"/>
          <w:shd w:fill="FFFFFF" w:val="clear"/>
          <w:lang w:val="en-US"/>
        </w:rPr>
        <w:t>1</w:t>
      </w:r>
      <w:r>
        <w:rPr>
          <w:b/>
          <w:sz w:val="28"/>
          <w:shd w:fill="FFFFFF" w:val="clear"/>
          <w:lang w:val="en-US"/>
        </w:rPr>
        <w:t xml:space="preserve"> </w:t>
      </w:r>
      <w:r>
        <w:rPr>
          <w:b/>
          <w:sz w:val="28"/>
          <w:shd w:fill="FFFFFF" w:val="clear"/>
        </w:rPr>
        <w:t>место</w:t>
      </w:r>
      <w:r>
        <w:rPr>
          <w:sz w:val="28"/>
          <w:shd w:fill="FFFFFF" w:val="clear"/>
        </w:rPr>
        <w:t xml:space="preserve"> (темп роста </w:t>
      </w:r>
      <w:r>
        <w:rPr>
          <w:b/>
          <w:sz w:val="28"/>
          <w:shd w:fill="FFFFFF" w:val="clear"/>
        </w:rPr>
        <w:t>116,</w:t>
      </w:r>
      <w:r>
        <w:rPr>
          <w:b/>
          <w:sz w:val="28"/>
          <w:shd w:fill="FFFFFF" w:val="clear"/>
          <w:lang w:val="en-US"/>
        </w:rPr>
        <w:t>0</w:t>
      </w:r>
      <w:r>
        <w:rPr>
          <w:b/>
          <w:sz w:val="28"/>
          <w:shd w:fill="FFFFFF" w:val="clear"/>
        </w:rPr>
        <w:t xml:space="preserve"> процента</w:t>
      </w:r>
      <w:r>
        <w:rPr>
          <w:sz w:val="28"/>
          <w:shd w:fill="FFFFFF" w:val="clear"/>
        </w:rPr>
        <w:t>).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Структура оборота общественного питания по хозяйствующим субъектам в январе 202</w:t>
      </w:r>
      <w:r>
        <w:rPr>
          <w:b/>
          <w:sz w:val="28"/>
        </w:rPr>
        <w:t>5</w:t>
      </w:r>
      <w:r>
        <w:rPr>
          <w:b/>
          <w:sz w:val="28"/>
        </w:rPr>
        <w:t xml:space="preserve"> года </w:t>
      </w:r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r>
        <w:rPr>
          <w:sz w:val="28"/>
        </w:rPr>
        <w:t>(в процентах к итогу, в фактически действовавших ценах)</w:t>
      </w:r>
    </w:p>
    <w:p>
      <w:pPr>
        <w:pStyle w:val="Normal"/>
        <w:tabs>
          <w:tab w:val="clear" w:pos="708"/>
          <w:tab w:val="left" w:pos="360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27700" cy="2629535"/>
            <wp:effectExtent l="0" t="0" r="0" b="0"/>
            <wp:wrapSquare wrapText="largest"/>
            <wp:docPr id="7" name="Объект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360" w:leader="none"/>
        </w:tabs>
        <w:ind w:left="0" w:right="0" w:firstLine="720"/>
        <w:jc w:val="both"/>
        <w:rPr/>
      </w:pPr>
      <w:r>
        <w:rPr>
          <w:b/>
          <w:sz w:val="28"/>
        </w:rPr>
        <w:t>Сводный индекс потребительских цен</w:t>
      </w:r>
      <w:r>
        <w:rPr>
          <w:sz w:val="28"/>
        </w:rPr>
        <w:t xml:space="preserve"> на все товары народного потребления и услуги населению в январе 2025 года (к предыдущему месяцу) составил </w:t>
      </w:r>
      <w:r>
        <w:rPr>
          <w:b/>
          <w:sz w:val="28"/>
        </w:rPr>
        <w:t>101,3%</w:t>
      </w:r>
      <w:r>
        <w:rPr>
          <w:sz w:val="28"/>
        </w:rPr>
        <w:t xml:space="preserve">, в том числе по продовольственным товарам – </w:t>
      </w:r>
      <w:r>
        <w:rPr>
          <w:b/>
          <w:sz w:val="28"/>
        </w:rPr>
        <w:t>101,7%,</w:t>
      </w:r>
      <w:r>
        <w:rPr>
          <w:sz w:val="28"/>
        </w:rPr>
        <w:t xml:space="preserve"> непродовольственным – </w:t>
      </w:r>
      <w:r>
        <w:rPr>
          <w:b/>
          <w:sz w:val="28"/>
        </w:rPr>
        <w:t>100,6%</w:t>
      </w:r>
      <w:r>
        <w:rPr>
          <w:sz w:val="28"/>
        </w:rPr>
        <w:t xml:space="preserve">, услугам – </w:t>
      </w:r>
      <w:r>
        <w:rPr>
          <w:b/>
          <w:bCs/>
          <w:sz w:val="28"/>
        </w:rPr>
        <w:t>101,4</w:t>
      </w:r>
      <w:r>
        <w:rPr>
          <w:b/>
          <w:sz w:val="28"/>
        </w:rPr>
        <w:t>%.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b/>
          <w:sz w:val="28"/>
        </w:rPr>
        <w:t>Индекс на все товары</w:t>
      </w:r>
      <w:r>
        <w:rPr>
          <w:sz w:val="28"/>
        </w:rPr>
        <w:t xml:space="preserve"> в январе 2025 года (к предыдущему месяцу) составил </w:t>
      </w:r>
      <w:r>
        <w:rPr>
          <w:b/>
          <w:sz w:val="28"/>
        </w:rPr>
        <w:t>101,3%.</w:t>
      </w:r>
      <w:r>
        <w:rPr>
          <w:sz w:val="28"/>
        </w:rPr>
        <w:t xml:space="preserve"> </w:t>
      </w:r>
      <w:r>
        <w:rPr>
          <w:b/>
          <w:sz w:val="28"/>
        </w:rPr>
        <w:t>Индекс цен на все товары и услуги без овощей, картофеля и фруктов</w:t>
      </w:r>
      <w:r>
        <w:rPr>
          <w:sz w:val="28"/>
        </w:rPr>
        <w:t xml:space="preserve"> в январе 2025 г. (к предыдущему месяцу) составил               </w:t>
      </w:r>
      <w:r>
        <w:rPr>
          <w:b/>
          <w:sz w:val="28"/>
        </w:rPr>
        <w:t xml:space="preserve">101,1%.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В январе цены на плодоовощную продукцию изменились следующим образом: виноград стал дороже на 21,6%, огурцы свежие – на 13,9%, грибы свежие – на 9,3%, бананы – на 8,7%, яблоки – на 7,4%, чеснок – на 4,9%, капуста белокочанная свежая – на 4,5%, картофель – на 4,3%, свёкла столовая – на 3,2%, ягоды замороженные – на 3,0%, орехи – на 2,8%, груши – на 1,5%, овощи замороженные – на 0,8%, сухофрукты – на 0,1%. В свою очередь на 10,1% стали дешевле перец сладкий свежий, на 8,5% – апельсины, на 3,1% - лимоны, на 1,9% – зелень свежая, на 1,8% – морковь, на 1,5% – лук репчатый.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В январе среди прочих наблюдаемых продовольственных товаров наибольшее повышение цен отмечено на водку на 10,0%, икру лососевых рыб, отечественную – на 5,2%, рыбу мороженую разделанную (кроме лососевых пород) – на 4,1%, конфеты шоколадные натуральные и с добавками – на 3,8%, филе сельди соленое – на 3,7%, рыбу охлажденную и мороженую разделанную лососевых пород – на 3,6%, рыбу мороженую неразделанную – на 3,4%, молоко питьевое цельное пастеризованное более 3,2% жирности и сливки питьевые – на 3,3%, жевательную резинку – на 3,2%, сыры плавленые – на 3,1%, соки фруктовые – на 2,9%, молоко питьевое цельное пастеризованное 2,5-3,2% жирности – на 2,8%, филе рыбное – на 2,7%, говядину бескостную – на 2,5%, карамель и крупы овсяную и перловую – на 2,4%, творог и сыры твердые, полутвердые и мягкие – на 2,3%.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В то же время подешевели: масло оливковое – на 1,9%, пельмени, манты, равиоли – на 1,6%, рис шлифованный – на 1,2%, свинина бескостная и мясо индейки – на 1,1%, варенье, джем, повидло – на 0,8%, конфеты мягкие, глазированные шоколадом – на 0,7%, горошек зеленый консервированный и пряники – на 0,4%, вино виноградное столовое, молоко питьевое цельное ультрапастеризованное 2,5-3,2% жирности и кетчуп – на 0,3%, зефир, пастила и консервы фруктово-ягодные для детского питания – на 0,2%, колбаса вареная, окорочка куриные и яйца куриные – на 0,1%.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В январе цены на непродовольственные товары в среднем за месяц выросли на 0,6%. Здесь наиболее всего подорожали: свежесрезанные цветы – на 5,7%, кресло мягкое – на 4,2%, корригирующие очки – на 4,1%, телефонный аппарат стационарный – на 3,9%, линолеум – на 3,7%, сухие корма для домашних животных – на 3,1%, шкаф для платья и белья – на 2,9%, матрас для взрослых и триммер – на 2,8%, пальто женское меховое и дубленка – на 2,7%, термометр медицинский безртутный (галинстановый) и часы наручные – на 2,6%, газета в розницу – на 2,5%.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Вместе с тем, снизились цены на еврошифер – на 4,8%, термометр медицинский электронный стандартный – на 3,7%, дрова – на 3,0%, кружка, чашка чайная с блюдцем – на 2,2%, прокладки женские гигиенические – на 1,7%, санитарно- гигиеническая маска (медицинская), смартфон, мыло туалетное и робот-пылесос – на 1,6%, пальто (полупальто) женское с верхом из плащевых тканей – на 1,5%, металлочерепица и холодильник двухкамерный – на 1,4%, футболка детская – на 1,3%, смарт-часы и доска обрезная – на 1,2%, светильник потолочный, лампа энергосберегающая и щетка зубная – на 1,0%.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На бензин автомобильный цены повысились на 0,8%, на дизельное топливо – на 1,3%. Цены на газовое моторное топливо снизились на 0,1%.</w:t>
      </w:r>
    </w:p>
    <w:p>
      <w:pPr>
        <w:pStyle w:val="Normal"/>
        <w:ind w:left="0" w:right="0" w:firstLine="709"/>
        <w:jc w:val="both"/>
        <w:rPr>
          <w:highlight w:val="none"/>
          <w:shd w:fill="FFFFFF" w:val="clear"/>
        </w:rPr>
      </w:pPr>
      <w:r>
        <w:rPr>
          <w:sz w:val="28"/>
          <w:shd w:fill="FFFFFF" w:val="clear"/>
        </w:rPr>
        <w:t xml:space="preserve">Индекс цен (тарифов) на услуги </w:t>
      </w:r>
      <w:bookmarkStart w:id="2" w:name="_Hlk508100149"/>
      <w:r>
        <w:rPr>
          <w:sz w:val="28"/>
          <w:shd w:fill="FFFFFF" w:val="clear"/>
        </w:rPr>
        <w:t>в</w:t>
      </w:r>
      <w:bookmarkEnd w:id="2"/>
      <w:r>
        <w:rPr>
          <w:sz w:val="28"/>
          <w:shd w:fill="FFFFFF" w:val="clear"/>
        </w:rPr>
        <w:t xml:space="preserve"> январе 2025 г. (к предыдущему месяцу) по Республике Мордовия составил 101,4 процента. </w:t>
      </w:r>
    </w:p>
    <w:p>
      <w:pPr>
        <w:pStyle w:val="Normal"/>
        <w:ind w:left="0" w:right="0" w:firstLine="709"/>
        <w:jc w:val="both"/>
        <w:rPr>
          <w:highlight w:val="none"/>
          <w:shd w:fill="FFFFFF" w:val="clear"/>
        </w:rPr>
      </w:pPr>
      <w:r>
        <w:rPr>
          <w:b/>
          <w:sz w:val="28"/>
          <w:shd w:fill="FFFFFF" w:val="clear"/>
        </w:rPr>
        <w:t>Индекс цен на бытовые</w:t>
      </w:r>
      <w:r>
        <w:rPr>
          <w:sz w:val="28"/>
          <w:shd w:fill="FFFFFF" w:val="clear"/>
        </w:rPr>
        <w:t xml:space="preserve"> </w:t>
      </w:r>
      <w:r>
        <w:rPr>
          <w:b/>
          <w:sz w:val="28"/>
          <w:shd w:fill="FFFFFF" w:val="clear"/>
        </w:rPr>
        <w:t>услуги</w:t>
      </w:r>
      <w:r>
        <w:rPr>
          <w:sz w:val="28"/>
          <w:shd w:fill="FFFFFF" w:val="clear"/>
        </w:rPr>
        <w:t xml:space="preserve"> в январе 2025 года (к предыдущему месяцу) в целом по Республике Мордовия составил </w:t>
      </w:r>
      <w:r>
        <w:rPr>
          <w:b/>
          <w:sz w:val="28"/>
          <w:shd w:fill="FFFFFF" w:val="clear"/>
        </w:rPr>
        <w:t>100,6 процента.</w:t>
      </w:r>
    </w:p>
    <w:p>
      <w:pPr>
        <w:pStyle w:val="Normal"/>
        <w:ind w:left="0" w:right="0" w:firstLine="709"/>
        <w:jc w:val="both"/>
        <w:rPr>
          <w:highlight w:val="none"/>
          <w:shd w:fill="FFFFFF" w:val="clear"/>
        </w:rPr>
      </w:pPr>
      <w:r>
        <w:rPr>
          <w:b/>
          <w:sz w:val="28"/>
          <w:shd w:fill="FFFFFF" w:val="clear"/>
        </w:rPr>
        <w:t xml:space="preserve">Стоимость условного (минимального) набора продуктов питания, </w:t>
      </w:r>
      <w:r>
        <w:rPr>
          <w:sz w:val="28"/>
          <w:shd w:fill="FFFFFF" w:val="clear"/>
        </w:rPr>
        <w:t xml:space="preserve">рассчитанного на месяц в среднем по республике в конце января 2025 г. составила </w:t>
      </w:r>
      <w:r>
        <w:rPr>
          <w:b/>
          <w:bCs/>
          <w:sz w:val="28"/>
          <w:shd w:fill="FFFFFF" w:val="clear"/>
        </w:rPr>
        <w:t>5 985</w:t>
      </w:r>
      <w:r>
        <w:rPr>
          <w:b/>
          <w:sz w:val="28"/>
          <w:shd w:fill="FFFFFF" w:val="clear"/>
        </w:rPr>
        <w:t xml:space="preserve">,31 рубля </w:t>
      </w:r>
      <w:r>
        <w:rPr>
          <w:sz w:val="28"/>
          <w:shd w:fill="FFFFFF" w:val="clear"/>
        </w:rPr>
        <w:t xml:space="preserve">и по сравнению с предыдущим месяцем повысилась на </w:t>
      </w:r>
      <w:r>
        <w:rPr>
          <w:b/>
          <w:bCs/>
          <w:sz w:val="28"/>
          <w:shd w:fill="FFFFFF" w:val="clear"/>
        </w:rPr>
        <w:t>1,9</w:t>
      </w:r>
      <w:r>
        <w:rPr>
          <w:b/>
          <w:sz w:val="28"/>
          <w:shd w:fill="FFFFFF" w:val="clear"/>
        </w:rPr>
        <w:t xml:space="preserve"> процента.</w:t>
      </w:r>
    </w:p>
    <w:p>
      <w:pPr>
        <w:pStyle w:val="Normal"/>
        <w:jc w:val="right"/>
        <w:rPr>
          <w:i/>
          <w:i/>
          <w:sz w:val="28"/>
        </w:rPr>
      </w:pPr>
      <w:r>
        <w:rPr>
          <w:i/>
          <w:sz w:val="28"/>
        </w:rPr>
        <w:t xml:space="preserve">Информация подготовлена </w:t>
        <w:br/>
        <w:t xml:space="preserve">отделом развития торговли и потребительских услуг </w:t>
        <w:br/>
        <w:t> по данным Мордовиястат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Normal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aption">
    <w:name w:val="Caption"/>
    <w:qFormat/>
    <w:rPr>
      <w:i/>
      <w:sz w:val="24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Heading3">
    <w:name w:val="Heading 3"/>
    <w:qFormat/>
    <w:rPr>
      <w:b/>
      <w:sz w:val="27"/>
    </w:rPr>
  </w:style>
  <w:style w:type="character" w:styleId="Style9">
    <w:name w:val="Колонтитул"/>
    <w:link w:val="Style20"/>
    <w:qFormat/>
    <w:rPr/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Footer">
    <w:name w:val="Footer"/>
    <w:qFormat/>
    <w:rPr/>
  </w:style>
  <w:style w:type="character" w:styleId="Style10">
    <w:name w:val="Верхний колонтитул Знак"/>
    <w:basedOn w:val="DefaultParagraphFont"/>
    <w:link w:val="Style23"/>
    <w:qFormat/>
    <w:rPr>
      <w:rFonts w:ascii="Times New Roman" w:hAnsi="Times New Roman"/>
      <w:sz w:val="24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Contents3">
    <w:name w:val="Contents 3"/>
    <w:link w:val="Contents31"/>
    <w:qFormat/>
    <w:rPr>
      <w:rFonts w:ascii="XO Thames" w:hAnsi="XO Thames"/>
      <w:sz w:val="28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1">
    <w:name w:val="Указатель"/>
    <w:link w:val="Style19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Style12">
    <w:name w:val="Hyperlink"/>
    <w:link w:val="Style25"/>
    <w:rPr>
      <w:rFonts w:ascii="Calibri" w:hAnsi="Calibri"/>
      <w:color w:val="000080"/>
      <w:spacing w:val="0"/>
      <w:sz w:val="22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extbody">
    <w:name w:val="Text body"/>
    <w:link w:val="Textbody1"/>
    <w:qFormat/>
    <w:rPr/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Style13">
    <w:name w:val="Нижний колонтитул Знак"/>
    <w:basedOn w:val="DefaultParagraphFont"/>
    <w:link w:val="Style26"/>
    <w:qFormat/>
    <w:rPr>
      <w:rFonts w:ascii="Times New Roman" w:hAnsi="Times New Roman"/>
      <w:sz w:val="24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NormalWeb">
    <w:name w:val="Normal (Web)"/>
    <w:link w:val="NormalWeb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31">
    <w:name w:val="Заголовок 3 Знак"/>
    <w:basedOn w:val="DefaultParagraphFont"/>
    <w:link w:val="33"/>
    <w:qFormat/>
    <w:rPr>
      <w:rFonts w:ascii="Times New Roman" w:hAnsi="Times New Roman"/>
      <w:b/>
      <w:sz w:val="27"/>
    </w:rPr>
  </w:style>
  <w:style w:type="character" w:styleId="Style14">
    <w:name w:val="Заголовок"/>
    <w:link w:val="Style15"/>
    <w:qFormat/>
    <w:rPr>
      <w:rFonts w:ascii="Liberation Sans" w:hAnsi="Liberation Sans"/>
      <w:sz w:val="28"/>
    </w:rPr>
  </w:style>
  <w:style w:type="paragraph" w:styleId="Style15">
    <w:name w:val="Заголовок"/>
    <w:basedOn w:val="Normal"/>
    <w:next w:val="Style16"/>
    <w:link w:val="Style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1"/>
    <w:pPr/>
    <w:rPr/>
  </w:style>
  <w:style w:type="paragraph" w:styleId="Style18">
    <w:name w:val="Caption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Указатель"/>
    <w:basedOn w:val="Normal"/>
    <w:link w:val="Style11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Колонтитул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Верхний колонтитул Знак"/>
    <w:basedOn w:val="DefaultParagraphFont1"/>
    <w:link w:val="Style10"/>
    <w:qFormat/>
    <w:pPr/>
    <w:rPr>
      <w:rFonts w:ascii="Times New Roman" w:hAnsi="Times New Roman"/>
      <w:sz w:val="24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Интернет-ссылк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Нижний колонтитул Знак"/>
    <w:basedOn w:val="DefaultParagraphFont1"/>
    <w:link w:val="Style13"/>
    <w:qFormat/>
    <w:pPr/>
    <w:rPr>
      <w:rFonts w:ascii="Times New Roman" w:hAnsi="Times New Roman"/>
      <w:sz w:val="24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/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3">
    <w:name w:val="Заголовок 3 Знак"/>
    <w:basedOn w:val="DefaultParagraphFont1"/>
    <w:link w:val="31"/>
    <w:qFormat/>
    <w:pPr/>
    <w:rPr>
      <w:rFonts w:ascii="Times New Roman" w:hAnsi="Times New Roman"/>
      <w:b/>
      <w:sz w:val="27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5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"/>
                  <c:y val="0.0273463875759622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январь</c:v>
                </c:pt>
                <c:pt idx="1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102.4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2025 г.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январь</c:v>
                </c:pt>
                <c:pt idx="1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110.4</c:v>
                </c:pt>
              </c:numCache>
            </c:numRef>
          </c:val>
        </c:ser>
        <c:gapWidth val="182"/>
        <c:overlap val="0"/>
        <c:axId val="14975114"/>
        <c:axId val="33772138"/>
      </c:barChart>
      <c:catAx>
        <c:axId val="1497511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33772138"/>
        <c:crosses val="autoZero"/>
        <c:auto val="1"/>
        <c:lblAlgn val="ctr"/>
        <c:lblOffset val="100"/>
        <c:noMultiLvlLbl val="0"/>
      </c:catAx>
      <c:valAx>
        <c:axId val="33772138"/>
        <c:scaling>
          <c:orientation val="minMax"/>
          <c:min val="90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14975114"/>
        <c:crosses val="autoZero"/>
        <c:crossBetween val="between"/>
      </c:valAx>
      <c:spPr>
        <a:noFill/>
        <a:ln w="25560">
          <a:solidFill>
            <a:srgbClr val="000000"/>
          </a:solidFill>
          <a:round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0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square"/>
            <c:size val="7"/>
            <c:spPr>
              <a:solidFill>
                <a:srgbClr val="004586"/>
              </a:solidFill>
            </c:spPr>
          </c:marker>
          <c:dPt>
            <c:idx val="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3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5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6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8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2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Lbls>
            <c:numFmt formatCode="General" sourceLinked="0"/>
            <c:dLbl>
              <c:idx val="0"/>
              <c:layout>
                <c:manualLayout>
                  <c:x val="0.00512532033252078"/>
                  <c:y val="0.00300033337037449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layout>
                <c:manualLayout>
                  <c:x val="-0.00512532033252078"/>
                  <c:y val="0.093121457939771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layout>
                <c:manualLayout>
                  <c:x val="0.00343771485717853"/>
                  <c:y val="0.096121791310145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layout>
                <c:manualLayout>
                  <c:x val="0.0205012813300832"/>
                  <c:y val="0.0121124569396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layout>
                <c:manualLayout>
                  <c:x val="-0.0017501093818364"/>
                  <c:y val="0.096121791310145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8"/>
              <c:layout>
                <c:manualLayout>
                  <c:x val="0"/>
                  <c:y val="0.093121457939771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0"/>
              <c:layout>
                <c:manualLayout>
                  <c:x val="-0.00512532033252078"/>
                  <c:y val="0.087120791199022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2"/>
              <c:layout>
                <c:manualLayout>
                  <c:x val="-0.00850053128320516"/>
                  <c:y val="0.087120791199022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Республика Мордовия</c:v>
                </c:pt>
                <c:pt idx="1">
                  <c:v>Республика Башкортостан</c:v>
                </c:pt>
                <c:pt idx="2">
                  <c:v>Республика Марий Эл</c:v>
                </c:pt>
                <c:pt idx="3">
                  <c:v>Республика Татарстан</c:v>
                </c:pt>
                <c:pt idx="4">
                  <c:v>Удмуртская Республика</c:v>
                </c:pt>
                <c:pt idx="5">
                  <c:v>Чувашская Республика</c:v>
                </c:pt>
                <c:pt idx="6">
                  <c:v>Кировская область</c:v>
                </c:pt>
                <c:pt idx="7">
                  <c:v>Нижегородская область</c:v>
                </c:pt>
                <c:pt idx="8">
                  <c:v>Оренбургская область</c:v>
                </c:pt>
                <c:pt idx="9">
                  <c:v>Пензенская область</c:v>
                </c:pt>
                <c:pt idx="10">
                  <c:v>Пермский край</c:v>
                </c:pt>
                <c:pt idx="11">
                  <c:v>Самарская область</c:v>
                </c:pt>
                <c:pt idx="12">
                  <c:v>Саратовская область</c:v>
                </c:pt>
                <c:pt idx="13">
                  <c:v>Ульяновская область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4"/>
                <c:pt idx="0">
                  <c:v>110.4</c:v>
                </c:pt>
                <c:pt idx="1">
                  <c:v>108.8</c:v>
                </c:pt>
                <c:pt idx="2">
                  <c:v>107.7</c:v>
                </c:pt>
                <c:pt idx="3">
                  <c:v>106.1</c:v>
                </c:pt>
                <c:pt idx="4">
                  <c:v>109.9</c:v>
                </c:pt>
                <c:pt idx="5">
                  <c:v>106.2</c:v>
                </c:pt>
                <c:pt idx="6">
                  <c:v>104.4</c:v>
                </c:pt>
                <c:pt idx="7">
                  <c:v>107.9</c:v>
                </c:pt>
                <c:pt idx="8">
                  <c:v>104.6</c:v>
                </c:pt>
                <c:pt idx="9">
                  <c:v>106</c:v>
                </c:pt>
                <c:pt idx="10">
                  <c:v>105.2</c:v>
                </c:pt>
                <c:pt idx="11">
                  <c:v>111.1</c:v>
                </c:pt>
                <c:pt idx="12">
                  <c:v>104.7</c:v>
                </c:pt>
                <c:pt idx="13">
                  <c:v>104.4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14031772"/>
        <c:axId val="30931916"/>
      </c:lineChart>
      <c:catAx>
        <c:axId val="140317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0931916"/>
        <c:crosses val="autoZero"/>
        <c:auto val="1"/>
        <c:lblAlgn val="ctr"/>
        <c:lblOffset val="100"/>
        <c:noMultiLvlLbl val="0"/>
      </c:catAx>
      <c:valAx>
        <c:axId val="30931916"/>
        <c:scaling>
          <c:orientation val="minMax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0.0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4031772"/>
        <c:crossesAt val="1"/>
        <c:crossBetween val="midCat"/>
      </c:valAx>
      <c:spPr>
        <a:noFill/>
        <a:ln w="9360">
          <a:solidFill>
            <a:srgbClr val="b3b3b3"/>
          </a:solidFill>
          <a:round/>
        </a:ln>
      </c:spPr>
    </c:plotArea>
    <c:plotVisOnly val="0"/>
    <c:dispBlanksAs val="gap"/>
  </c:chart>
  <c:spPr>
    <a:solidFill>
      <a:srgbClr val="ffffff"/>
    </a:solidFill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2786875"/>
          <c:y val="0.115444444444444"/>
          <c:w val="0.420125"/>
          <c:h val="0.396555555555556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explosion val="0"/>
          <c:dPt>
            <c:idx val="0"/>
            <c:spPr>
              <a:solidFill>
                <a:srgbClr val="4472c4"/>
              </a:solidFill>
              <a:ln w="25560">
                <a:noFill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noFill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4"/>
                <c:pt idx="0">
                  <c:v>организации, не являющиеся субъектами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субъекты малого предпринимательства</c:v>
                </c:pt>
                <c:pt idx="3">
                  <c:v>организации со средней численностью работников до 15 человек, не являющиеся субъектами малого предпринимательства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71.7</c:v>
                </c:pt>
                <c:pt idx="1">
                  <c:v>4.3</c:v>
                </c:pt>
                <c:pt idx="2">
                  <c:v>23.9</c:v>
                </c:pt>
                <c:pt idx="3">
                  <c:v>0.1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031875"/>
          <c:y val="0.647111111111111"/>
          <c:w val="0.939621226326646"/>
          <c:h val="0.31536837426380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0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2786875"/>
          <c:y val="0.115444444444444"/>
          <c:w val="0.4200625"/>
          <c:h val="0.396555555555556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explosion val="0"/>
          <c:dPt>
            <c:idx val="0"/>
            <c:spPr>
              <a:solidFill>
                <a:srgbClr val="4472c4"/>
              </a:solidFill>
              <a:ln w="25560">
                <a:noFill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noFill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4"/>
                <c:pt idx="0">
                  <c:v>организации, не являющиеся субъектами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субъекты малого предпринимательства</c:v>
                </c:pt>
                <c:pt idx="3">
                  <c:v>организации со среднесписочной численностью работников до 15 человек, не являющиеся субъектами малого предпринимательства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41.1</c:v>
                </c:pt>
                <c:pt idx="1">
                  <c:v>6.5</c:v>
                </c:pt>
                <c:pt idx="2">
                  <c:v>52.3</c:v>
                </c:pt>
                <c:pt idx="3">
                  <c:v>0.1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031875"/>
          <c:y val="0.647111111111111"/>
          <c:w val="0.939558722420151"/>
          <c:h val="0.31536837426380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0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square"/>
            <c:size val="7"/>
            <c:spPr>
              <a:solidFill>
                <a:srgbClr val="004586"/>
              </a:solidFill>
            </c:spPr>
          </c:marker>
          <c:dPt>
            <c:idx val="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2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4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6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8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2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Lbls>
            <c:numFmt formatCode="General" sourceLinked="0"/>
            <c:dLbl>
              <c:idx val="0"/>
              <c:layout>
                <c:manualLayout>
                  <c:x val="0.0238139883742734"/>
                  <c:y val="0.0090010001111234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layout>
                <c:manualLayout>
                  <c:x val="-0.00337521095068444"/>
                  <c:y val="0.090121124569396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4"/>
              <c:layout>
                <c:manualLayout>
                  <c:x val="0"/>
                  <c:y val="0.099122124680520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layout>
                <c:manualLayout>
                  <c:x val="0.00337521095068438"/>
                  <c:y val="0.093121457939771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8"/>
              <c:layout>
                <c:manualLayout>
                  <c:x val="-0.00675042190136888"/>
                  <c:y val="0.099122124680520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0"/>
              <c:layout>
                <c:manualLayout>
                  <c:x val="0.00512532033252078"/>
                  <c:y val="0.093010334481609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2"/>
              <c:layout>
                <c:manualLayout>
                  <c:x val="-0.00343771485717859"/>
                  <c:y val="0.096121791310145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Республика Мордовия</c:v>
                </c:pt>
                <c:pt idx="1">
                  <c:v>Республика Башкортостан</c:v>
                </c:pt>
                <c:pt idx="2">
                  <c:v>Республика Марий Эл</c:v>
                </c:pt>
                <c:pt idx="3">
                  <c:v>Республика Татарстан</c:v>
                </c:pt>
                <c:pt idx="4">
                  <c:v>Удмуртская Республика</c:v>
                </c:pt>
                <c:pt idx="5">
                  <c:v>Чувашская Республика</c:v>
                </c:pt>
                <c:pt idx="6">
                  <c:v>Кировская область</c:v>
                </c:pt>
                <c:pt idx="7">
                  <c:v>Нижегородская область</c:v>
                </c:pt>
                <c:pt idx="8">
                  <c:v>Оренбургская область</c:v>
                </c:pt>
                <c:pt idx="9">
                  <c:v>Пензенская область</c:v>
                </c:pt>
                <c:pt idx="10">
                  <c:v>Пермский край</c:v>
                </c:pt>
                <c:pt idx="11">
                  <c:v>Самарская область</c:v>
                </c:pt>
                <c:pt idx="12">
                  <c:v>Саратовская область</c:v>
                </c:pt>
                <c:pt idx="13">
                  <c:v>Ульяновская область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4"/>
                <c:pt idx="0">
                  <c:v>113.7</c:v>
                </c:pt>
                <c:pt idx="1">
                  <c:v>101.7</c:v>
                </c:pt>
                <c:pt idx="2">
                  <c:v>98.7</c:v>
                </c:pt>
                <c:pt idx="3">
                  <c:v>110.4</c:v>
                </c:pt>
                <c:pt idx="4">
                  <c:v>112.7</c:v>
                </c:pt>
                <c:pt idx="5">
                  <c:v>106.4</c:v>
                </c:pt>
                <c:pt idx="6">
                  <c:v>109.4</c:v>
                </c:pt>
                <c:pt idx="7">
                  <c:v>109.5</c:v>
                </c:pt>
                <c:pt idx="8">
                  <c:v>112.9</c:v>
                </c:pt>
                <c:pt idx="9">
                  <c:v>92.5</c:v>
                </c:pt>
                <c:pt idx="10">
                  <c:v>104</c:v>
                </c:pt>
                <c:pt idx="11">
                  <c:v>107.2</c:v>
                </c:pt>
                <c:pt idx="12">
                  <c:v>95.1</c:v>
                </c:pt>
                <c:pt idx="13">
                  <c:v>111.1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50350993"/>
        <c:axId val="27435616"/>
      </c:lineChart>
      <c:catAx>
        <c:axId val="5035099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7435616"/>
        <c:crosses val="autoZero"/>
        <c:auto val="1"/>
        <c:lblAlgn val="ctr"/>
        <c:lblOffset val="100"/>
        <c:noMultiLvlLbl val="0"/>
      </c:catAx>
      <c:valAx>
        <c:axId val="27435616"/>
        <c:scaling>
          <c:orientation val="minMax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0.0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0350993"/>
        <c:crosses val="autoZero"/>
        <c:crossBetween val="midCat"/>
      </c:valAx>
      <c:spPr>
        <a:noFill/>
        <a:ln w="9360">
          <a:solidFill>
            <a:srgbClr val="b3b3b3"/>
          </a:solidFill>
          <a:round/>
        </a:ln>
      </c:spPr>
    </c:plotArea>
    <c:plotVisOnly val="0"/>
    <c:dispBlanksAs val="gap"/>
  </c:chart>
  <c:spPr>
    <a:solidFill>
      <a:srgbClr val="ffffff"/>
    </a:solidFill>
    <a:ln w="0"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square"/>
            <c:size val="7"/>
            <c:spPr>
              <a:solidFill>
                <a:srgbClr val="004586"/>
              </a:solidFill>
            </c:spPr>
          </c:marker>
          <c:dPt>
            <c:idx val="1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3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5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7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9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1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Lbls>
            <c:numFmt formatCode="General" sourceLinked="0"/>
            <c:dLbl>
              <c:idx val="1"/>
              <c:layout>
                <c:manualLayout>
                  <c:x val="-0.00512532033252078"/>
                  <c:y val="0.096121791310145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layout>
                <c:manualLayout>
                  <c:x val="0.00175010938183634"/>
                  <c:y val="0.10212245805089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layout>
                <c:manualLayout>
                  <c:x val="-0.0017501093818364"/>
                  <c:y val="0.090010001111234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7"/>
              <c:layout>
                <c:manualLayout>
                  <c:x val="0"/>
                  <c:y val="0.087009667740860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9"/>
              <c:layout>
                <c:manualLayout>
                  <c:x val="-0.00343771485717859"/>
                  <c:y val="0.096121791310145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1"/>
              <c:layout>
                <c:manualLayout>
                  <c:x val="0.00512532033252078"/>
                  <c:y val="0.099122124680520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Республика Мордовия</c:v>
                </c:pt>
                <c:pt idx="1">
                  <c:v>Республика Башкортостан</c:v>
                </c:pt>
                <c:pt idx="2">
                  <c:v>Республика Марий Эл</c:v>
                </c:pt>
                <c:pt idx="3">
                  <c:v>Республика Татарстан</c:v>
                </c:pt>
                <c:pt idx="4">
                  <c:v>Удмуртская Республика</c:v>
                </c:pt>
                <c:pt idx="5">
                  <c:v>Чувашская Республика</c:v>
                </c:pt>
                <c:pt idx="6">
                  <c:v>Кировская область</c:v>
                </c:pt>
                <c:pt idx="7">
                  <c:v>Нижегородская область</c:v>
                </c:pt>
                <c:pt idx="8">
                  <c:v>Оренбургская область</c:v>
                </c:pt>
                <c:pt idx="9">
                  <c:v>Пензенская область</c:v>
                </c:pt>
                <c:pt idx="10">
                  <c:v>Пермский край</c:v>
                </c:pt>
                <c:pt idx="11">
                  <c:v>Самарская область</c:v>
                </c:pt>
                <c:pt idx="12">
                  <c:v>Саратовская область</c:v>
                </c:pt>
                <c:pt idx="13">
                  <c:v>Ульяновская область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4"/>
                <c:pt idx="0">
                  <c:v>116</c:v>
                </c:pt>
                <c:pt idx="1">
                  <c:v>112.2</c:v>
                </c:pt>
                <c:pt idx="2">
                  <c:v>102.9</c:v>
                </c:pt>
                <c:pt idx="3">
                  <c:v>115.3</c:v>
                </c:pt>
                <c:pt idx="4">
                  <c:v>110.2</c:v>
                </c:pt>
                <c:pt idx="5">
                  <c:v>97.2</c:v>
                </c:pt>
                <c:pt idx="6">
                  <c:v>104.1</c:v>
                </c:pt>
                <c:pt idx="7">
                  <c:v>100.5</c:v>
                </c:pt>
                <c:pt idx="8">
                  <c:v>103.9</c:v>
                </c:pt>
                <c:pt idx="9">
                  <c:v>108.9</c:v>
                </c:pt>
                <c:pt idx="10">
                  <c:v>96</c:v>
                </c:pt>
                <c:pt idx="11">
                  <c:v>110.7</c:v>
                </c:pt>
                <c:pt idx="12">
                  <c:v>101.7</c:v>
                </c:pt>
                <c:pt idx="13">
                  <c:v>115.3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50508489"/>
        <c:axId val="18985866"/>
      </c:lineChart>
      <c:catAx>
        <c:axId val="5050848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8985866"/>
        <c:crosses val="autoZero"/>
        <c:auto val="1"/>
        <c:lblAlgn val="ctr"/>
        <c:lblOffset val="100"/>
        <c:noMultiLvlLbl val="0"/>
      </c:catAx>
      <c:valAx>
        <c:axId val="18985866"/>
        <c:scaling>
          <c:orientation val="minMax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0.0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0508489"/>
        <c:crosses val="autoZero"/>
        <c:crossBetween val="midCat"/>
      </c:valAx>
      <c:spPr>
        <a:noFill/>
        <a:ln w="9360">
          <a:solidFill>
            <a:srgbClr val="b3b3b3"/>
          </a:solidFill>
          <a:round/>
        </a:ln>
      </c:spPr>
    </c:plotArea>
    <c:plotVisOnly val="0"/>
    <c:dispBlanksAs val="gap"/>
  </c:chart>
  <c:spPr>
    <a:solidFill>
      <a:srgbClr val="ffffff"/>
    </a:solidFill>
    <a:ln w="0"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279375"/>
          <c:y val="0.0501111111111111"/>
          <c:w val="0.4328125"/>
          <c:h val="0.530111111111111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explosion val="50"/>
          <c:dPt>
            <c:idx val="0"/>
            <c:explosion val="15"/>
            <c:spPr>
              <a:solidFill>
                <a:srgbClr val="4472c4"/>
              </a:solidFill>
              <a:ln w="25560">
                <a:noFill/>
              </a:ln>
            </c:spPr>
          </c:dPt>
          <c:dPt>
            <c:idx val="1"/>
            <c:explosion val="13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2"/>
            <c:explosion val="20"/>
            <c:spPr>
              <a:solidFill>
                <a:srgbClr val="a5a5a5"/>
              </a:solidFill>
              <a:ln w="25560">
                <a:noFill/>
              </a:ln>
            </c:spPr>
          </c:dPt>
          <c:dPt>
            <c:idx val="3"/>
            <c:explosion val="15"/>
            <c:spPr>
              <a:solidFill>
                <a:srgbClr val="ffc000"/>
              </a:solidFill>
              <a:ln w="2556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4"/>
                <c:pt idx="0">
                  <c:v>малые предприятия (без микропредприятий)</c:v>
                </c:pt>
                <c:pt idx="1">
                  <c:v>организации, не относящиеся к субъектам малого предпринимательства</c:v>
                </c:pt>
                <c:pt idx="2">
                  <c:v>индивидуальные предприниматели, осуществляющие свою деятельность в общественном питании</c:v>
                </c:pt>
                <c:pt idx="3">
                  <c:v>микропредприятия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20.1</c:v>
                </c:pt>
                <c:pt idx="1">
                  <c:v>23.2</c:v>
                </c:pt>
                <c:pt idx="2">
                  <c:v>38.6</c:v>
                </c:pt>
                <c:pt idx="3">
                  <c:v>18.1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02675"/>
          <c:y val="0.636555555555556"/>
          <c:w val="0.880742546409151"/>
          <c:h val="0.324147127458607"/>
        </c:manualLayout>
      </c:layout>
      <c:overlay val="0"/>
      <c:spPr>
        <a:solidFill>
          <a:srgbClr val="d9d9d9"/>
        </a:solidFill>
        <a:ln w="0">
          <a:solidFill>
            <a:srgbClr val="000000"/>
          </a:solidFill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0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Application>LibreOffice/7.4.4.2$Windows_X86_64 LibreOffice_project/85569322deea74ec9134968a29af2df5663baa21</Application>
  <AppVersion>15.0000</AppVersion>
  <Pages>6</Pages>
  <Words>1122</Words>
  <Characters>6690</Characters>
  <CharactersWithSpaces>8054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2025-03-10T10:38:35Z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